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jc w:val="center"/>
        <w:rPr>
          <w:b/>
          <w:b/>
          <w:bCs/>
          <w:color w:val="000000"/>
          <w:sz w:val="24"/>
          <w:szCs w:val="24"/>
        </w:rPr>
      </w:pPr>
      <w:r>
        <w:rPr>
          <w:b/>
          <w:bCs/>
          <w:color w:val="000000"/>
          <w:sz w:val="22"/>
          <w:szCs w:val="22"/>
        </w:rPr>
        <w:t xml:space="preserve">МУНИЦИПАЛЬНЫЙ КОНТРАКТ № </w:t>
      </w:r>
      <w:r>
        <w:rPr>
          <w:b/>
          <w:color w:val="000000"/>
          <w:sz w:val="24"/>
          <w:szCs w:val="24"/>
        </w:rPr>
        <w:t>0154300014120000002-2/2020</w:t>
      </w:r>
    </w:p>
    <w:p>
      <w:pPr>
        <w:pStyle w:val="Normal"/>
        <w:jc w:val="center"/>
        <w:rPr>
          <w:b/>
          <w:b/>
          <w:bCs/>
          <w:sz w:val="22"/>
          <w:szCs w:val="22"/>
        </w:rPr>
      </w:pPr>
      <w:r>
        <w:rPr>
          <w:b/>
          <w:bCs/>
          <w:sz w:val="22"/>
          <w:szCs w:val="22"/>
        </w:rPr>
      </w:r>
    </w:p>
    <w:p>
      <w:pPr>
        <w:pStyle w:val="Normal"/>
        <w:jc w:val="center"/>
        <w:rPr>
          <w:b/>
          <w:b/>
          <w:bCs/>
          <w:i/>
          <w:i/>
          <w:color w:val="000000"/>
          <w:spacing w:val="3"/>
          <w:sz w:val="22"/>
          <w:szCs w:val="22"/>
        </w:rPr>
      </w:pPr>
      <w:r>
        <w:rPr>
          <w:b/>
          <w:bCs/>
          <w:i/>
          <w:color w:val="000000"/>
          <w:spacing w:val="3"/>
          <w:sz w:val="22"/>
          <w:szCs w:val="22"/>
        </w:rPr>
      </w:r>
    </w:p>
    <w:p>
      <w:pPr>
        <w:pStyle w:val="Normal"/>
        <w:jc w:val="center"/>
        <w:rPr>
          <w:rFonts w:eastAsia="Calibri"/>
          <w:sz w:val="24"/>
          <w:szCs w:val="24"/>
          <w:lang w:eastAsia="en-US"/>
        </w:rPr>
      </w:pPr>
      <w:r>
        <w:rPr>
          <w:rFonts w:eastAsia="Calibri"/>
          <w:sz w:val="24"/>
          <w:szCs w:val="24"/>
          <w:lang w:eastAsia="en-US"/>
        </w:rPr>
        <w:t>пгт.Змиевка                                                                                              02 марта  2020 г.</w:t>
      </w:r>
    </w:p>
    <w:p>
      <w:pPr>
        <w:pStyle w:val="Normal"/>
        <w:jc w:val="both"/>
        <w:rPr>
          <w:rFonts w:eastAsia="Calibri"/>
          <w:sz w:val="24"/>
          <w:szCs w:val="24"/>
          <w:lang w:eastAsia="en-US"/>
        </w:rPr>
      </w:pPr>
      <w:r>
        <w:rPr>
          <w:rFonts w:eastAsia="Calibri"/>
          <w:sz w:val="24"/>
          <w:szCs w:val="24"/>
          <w:lang w:eastAsia="en-US"/>
        </w:rPr>
      </w:r>
    </w:p>
    <w:p>
      <w:pPr>
        <w:pStyle w:val="Normal"/>
        <w:jc w:val="both"/>
        <w:rPr>
          <w:sz w:val="24"/>
          <w:szCs w:val="24"/>
        </w:rPr>
      </w:pPr>
      <w:r>
        <w:rPr>
          <w:rFonts w:eastAsia="Calibri"/>
          <w:sz w:val="24"/>
          <w:szCs w:val="24"/>
        </w:rPr>
        <w:t xml:space="preserve">          </w:t>
      </w:r>
      <w:r>
        <w:rPr>
          <w:b/>
          <w:sz w:val="24"/>
          <w:szCs w:val="24"/>
        </w:rPr>
        <w:t>Администрация Свердловского района Орловской области</w:t>
      </w:r>
      <w:r>
        <w:rPr>
          <w:rFonts w:eastAsia="Calibri"/>
          <w:sz w:val="24"/>
          <w:szCs w:val="24"/>
        </w:rPr>
        <w:t xml:space="preserve">, именуемое в дальнейшем «Заказчик», в лице </w:t>
      </w:r>
      <w:r>
        <w:rPr>
          <w:rFonts w:eastAsia="Calibri"/>
          <w:b/>
          <w:sz w:val="24"/>
          <w:szCs w:val="24"/>
        </w:rPr>
        <w:t>Главы администрации Шумай Олега Дмитриевича</w:t>
      </w:r>
      <w:r>
        <w:rPr>
          <w:rFonts w:eastAsia="Calibri"/>
          <w:sz w:val="24"/>
          <w:szCs w:val="24"/>
        </w:rPr>
        <w:t xml:space="preserve">, действующей на основании Устава, с одной стороны, и </w:t>
      </w:r>
      <w:r>
        <w:rPr>
          <w:rFonts w:eastAsia="Calibri"/>
          <w:b/>
          <w:sz w:val="24"/>
          <w:szCs w:val="24"/>
        </w:rPr>
        <w:t>Общество с ограниченной ответственностью «ФРЕГАТ»</w:t>
      </w:r>
      <w:r>
        <w:rPr>
          <w:rFonts w:eastAsia="Calibri"/>
          <w:sz w:val="24"/>
          <w:szCs w:val="24"/>
        </w:rPr>
        <w:t xml:space="preserve">, именуемое в дальнейшем «Подрядчик», в лице </w:t>
      </w:r>
      <w:r>
        <w:rPr>
          <w:rFonts w:eastAsia="Calibri"/>
          <w:b/>
          <w:sz w:val="24"/>
          <w:szCs w:val="24"/>
        </w:rPr>
        <w:t>Генерального директора Кузнецова Александра Михайловича</w:t>
      </w:r>
      <w:r>
        <w:rPr>
          <w:rFonts w:eastAsia="Calibri"/>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w:t>
      </w:r>
      <w:r>
        <w:rPr>
          <w:sz w:val="24"/>
          <w:szCs w:val="24"/>
        </w:rPr>
        <w:t>от 05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sz w:val="24"/>
          <w:szCs w:val="24"/>
        </w:rPr>
        <w:t xml:space="preserve">, на основании результатов размещения муниципального заказа путем проведения открытого аукциона в электронной форме (протокол подведения итогов   </w:t>
      </w:r>
      <w:r>
        <w:rPr>
          <w:rFonts w:eastAsia="Calibri"/>
          <w:b/>
          <w:sz w:val="24"/>
          <w:szCs w:val="24"/>
        </w:rPr>
        <w:t xml:space="preserve">№ </w:t>
      </w:r>
      <w:r>
        <w:rPr>
          <w:b/>
          <w:color w:val="000000"/>
          <w:sz w:val="24"/>
          <w:szCs w:val="24"/>
        </w:rPr>
        <w:t>0154300014120000002-3</w:t>
      </w:r>
      <w:r>
        <w:rPr>
          <w:b/>
          <w:sz w:val="24"/>
          <w:szCs w:val="24"/>
        </w:rPr>
        <w:t xml:space="preserve"> </w:t>
      </w:r>
      <w:r>
        <w:rPr>
          <w:rFonts w:eastAsia="Calibri"/>
          <w:b/>
          <w:sz w:val="24"/>
          <w:szCs w:val="24"/>
        </w:rPr>
        <w:t>от 19 февраля 2020 года</w:t>
      </w:r>
      <w:r>
        <w:rPr>
          <w:rFonts w:eastAsia="Calibri"/>
          <w:sz w:val="24"/>
          <w:szCs w:val="24"/>
        </w:rPr>
        <w:t>), заключили настоящий муниципальный контракт (далее - Контракт) о нижеследующем:</w:t>
      </w:r>
    </w:p>
    <w:p>
      <w:pPr>
        <w:pStyle w:val="Normal"/>
        <w:jc w:val="both"/>
        <w:rPr>
          <w:rFonts w:eastAsia="Calibri"/>
          <w:sz w:val="24"/>
          <w:szCs w:val="24"/>
        </w:rPr>
      </w:pPr>
      <w:r>
        <w:rPr>
          <w:rFonts w:eastAsia="Calibri"/>
          <w:sz w:val="24"/>
          <w:szCs w:val="24"/>
        </w:rPr>
      </w:r>
    </w:p>
    <w:p>
      <w:pPr>
        <w:pStyle w:val="1"/>
        <w:keepNext w:val="false"/>
        <w:widowControl w:val="false"/>
        <w:numPr>
          <w:ilvl w:val="0"/>
          <w:numId w:val="1"/>
        </w:numPr>
        <w:spacing w:before="0" w:after="0"/>
        <w:rPr>
          <w:rFonts w:ascii="Times New Roman" w:hAnsi="Times New Roman"/>
          <w:color w:val="auto"/>
          <w:szCs w:val="24"/>
          <w:u w:val="none"/>
        </w:rPr>
      </w:pPr>
      <w:bookmarkStart w:id="0" w:name="_ref_387867"/>
      <w:r>
        <w:rPr>
          <w:rFonts w:ascii="Times New Roman" w:hAnsi="Times New Roman"/>
          <w:color w:val="auto"/>
          <w:szCs w:val="24"/>
          <w:u w:val="none"/>
        </w:rPr>
        <w:t>Предмет Контракта</w:t>
      </w:r>
      <w:bookmarkEnd w:id="0"/>
    </w:p>
    <w:p>
      <w:pPr>
        <w:pStyle w:val="Normal"/>
        <w:widowControl w:val="false"/>
        <w:rPr>
          <w:sz w:val="24"/>
          <w:szCs w:val="24"/>
        </w:rPr>
      </w:pPr>
      <w:r>
        <w:rPr>
          <w:sz w:val="24"/>
          <w:szCs w:val="24"/>
        </w:rPr>
      </w:r>
    </w:p>
    <w:p>
      <w:pPr>
        <w:pStyle w:val="Normal"/>
        <w:spacing w:before="0" w:after="0"/>
        <w:contextualSpacing/>
        <w:jc w:val="both"/>
        <w:rPr>
          <w:rFonts w:eastAsia="Calibri"/>
          <w:sz w:val="24"/>
          <w:szCs w:val="24"/>
          <w:lang w:eastAsia="en-US"/>
        </w:rPr>
      </w:pPr>
      <w:bookmarkStart w:id="1" w:name="_ref_389435"/>
      <w:r>
        <w:rPr>
          <w:rFonts w:eastAsia="Calibri"/>
          <w:sz w:val="24"/>
          <w:szCs w:val="24"/>
          <w:lang w:eastAsia="en-US"/>
        </w:rPr>
        <w:t xml:space="preserve">              </w:t>
      </w:r>
      <w:r>
        <w:rPr>
          <w:rFonts w:eastAsia="Calibri"/>
          <w:sz w:val="24"/>
          <w:szCs w:val="24"/>
          <w:lang w:eastAsia="en-US"/>
        </w:rPr>
        <w:t xml:space="preserve">1.1. По настоящему Контракту Подрядчик обязуется </w:t>
      </w:r>
      <w:r>
        <w:rPr>
          <w:b/>
          <w:sz w:val="24"/>
          <w:szCs w:val="24"/>
        </w:rPr>
        <w:t>выполнить работы по объекту ремонта: «Ремонт дворовой территории по программе формирование современной городской среды по адресу: Орловская область, Свердловский район, пгт.Змиевка, улица Ленина д.20»</w:t>
      </w:r>
      <w:r>
        <w:rPr>
          <w:rFonts w:eastAsia="Calibri"/>
          <w:sz w:val="24"/>
          <w:szCs w:val="24"/>
          <w:lang w:eastAsia="en-US"/>
        </w:rPr>
        <w:t>,</w:t>
      </w:r>
      <w:r>
        <w:rPr>
          <w:bCs/>
          <w:sz w:val="24"/>
          <w:szCs w:val="24"/>
        </w:rPr>
        <w:t xml:space="preserve"> </w:t>
      </w:r>
      <w:r>
        <w:rPr>
          <w:rFonts w:eastAsia="Calibri"/>
          <w:sz w:val="24"/>
          <w:szCs w:val="24"/>
          <w:lang w:eastAsia="en-US"/>
        </w:rPr>
        <w:t>в соответствии с рабочей документацией, а Заказчик обязуется принять выполненные работы на условиях настоящего контракта и, в случае, предусмотренном п.2.2 настоящего контракта оплатить их.</w:t>
      </w:r>
    </w:p>
    <w:p>
      <w:pPr>
        <w:pStyle w:val="NoSpacing"/>
        <w:jc w:val="center"/>
        <w:rPr>
          <w:rFonts w:eastAsia="Calibri"/>
          <w:b/>
          <w:b/>
          <w:bCs/>
          <w:i/>
          <w:i/>
          <w:spacing w:val="-4"/>
          <w:sz w:val="22"/>
          <w:szCs w:val="22"/>
        </w:rPr>
      </w:pPr>
      <w:r>
        <w:rPr>
          <w:rFonts w:eastAsia="Calibri"/>
          <w:lang w:eastAsia="en-US"/>
        </w:rPr>
        <w:t xml:space="preserve">               </w:t>
      </w: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pacing w:before="0" w:after="0"/>
        <w:contextualSpacing/>
        <w:jc w:val="both"/>
        <w:rPr>
          <w:sz w:val="24"/>
          <w:szCs w:val="24"/>
          <w:highlight w:val="white"/>
        </w:rPr>
      </w:pPr>
      <w:r>
        <w:rPr>
          <w:rFonts w:eastAsia="Calibri"/>
          <w:sz w:val="24"/>
          <w:szCs w:val="24"/>
          <w:lang w:eastAsia="en-US"/>
        </w:rPr>
        <w:t xml:space="preserve">                 </w:t>
      </w:r>
      <w:r>
        <w:rPr>
          <w:rFonts w:eastAsia="Calibri"/>
          <w:sz w:val="24"/>
          <w:szCs w:val="24"/>
          <w:lang w:eastAsia="en-US"/>
        </w:rPr>
        <w:t>Место выполнения работ:</w:t>
      </w:r>
      <w:r>
        <w:rPr>
          <w:sz w:val="24"/>
          <w:szCs w:val="24"/>
        </w:rPr>
        <w:t xml:space="preserve"> Россия, Орловская область, Свердловский район, пгт. Змиевка, </w:t>
      </w:r>
      <w:r>
        <w:rPr>
          <w:sz w:val="24"/>
          <w:szCs w:val="24"/>
          <w:shd w:fill="FFFFFF" w:val="clear"/>
        </w:rPr>
        <w:t>улица Ленина д.20.</w:t>
      </w:r>
    </w:p>
    <w:p>
      <w:pPr>
        <w:pStyle w:val="2"/>
        <w:keepNext w:val="false"/>
        <w:widowControl w:val="false"/>
        <w:numPr>
          <w:ilvl w:val="0"/>
          <w:numId w:val="0"/>
        </w:numPr>
        <w:spacing w:lineRule="auto" w:line="240" w:before="0" w:after="0"/>
        <w:ind w:firstLine="709"/>
        <w:rPr>
          <w:b/>
          <w:b/>
          <w:color w:val="FF0000"/>
          <w:u w:val="none"/>
        </w:rPr>
      </w:pPr>
      <w:bookmarkStart w:id="2" w:name="_ref_389435"/>
      <w:r>
        <w:rPr>
          <w:u w:val="none"/>
        </w:rPr>
        <w:t xml:space="preserve">               </w:t>
      </w:r>
      <w:bookmarkStart w:id="3" w:name="_ref_914894"/>
      <w:bookmarkEnd w:id="2"/>
      <w:r>
        <w:rPr>
          <w:u w:val="none"/>
        </w:rPr>
        <w:t xml:space="preserve">1.3. </w:t>
      </w:r>
      <w:r>
        <w:rPr>
          <w:b/>
          <w:u w:val="none"/>
        </w:rPr>
        <w:t>Идентификационный код закупки:</w:t>
      </w:r>
      <w:r>
        <w:rPr>
          <w:b/>
          <w:color w:val="FF0000"/>
          <w:u w:val="none"/>
        </w:rPr>
        <w:t xml:space="preserve">  </w:t>
      </w:r>
      <w:bookmarkEnd w:id="3"/>
      <w:r>
        <w:rPr>
          <w:b/>
          <w:color w:val="000000"/>
        </w:rPr>
        <w:t>203572200134857220100100090014211244</w:t>
      </w:r>
    </w:p>
    <w:p>
      <w:pPr>
        <w:pStyle w:val="Normal"/>
        <w:rPr/>
      </w:pPr>
      <w:r>
        <w:rPr/>
      </w:r>
      <w:bookmarkStart w:id="4" w:name="_ref_518182"/>
      <w:bookmarkStart w:id="5" w:name="_ref_518182"/>
      <w:bookmarkEnd w:id="5"/>
    </w:p>
    <w:p>
      <w:pPr>
        <w:pStyle w:val="Normal"/>
        <w:widowControl w:val="false"/>
        <w:numPr>
          <w:ilvl w:val="0"/>
          <w:numId w:val="0"/>
        </w:numPr>
        <w:jc w:val="center"/>
        <w:outlineLvl w:val="6"/>
        <w:rPr>
          <w:b/>
          <w:b/>
          <w:sz w:val="24"/>
          <w:szCs w:val="24"/>
        </w:rPr>
      </w:pPr>
      <w:r>
        <w:rPr>
          <w:b/>
          <w:sz w:val="24"/>
          <w:szCs w:val="24"/>
        </w:rPr>
        <w:t>2. СТОИМОСТЬ (ЦЕНА) КОНТРАКТА</w:t>
      </w:r>
    </w:p>
    <w:p>
      <w:pPr>
        <w:pStyle w:val="Normal"/>
        <w:widowControl w:val="false"/>
        <w:ind w:firstLine="709"/>
        <w:jc w:val="both"/>
        <w:rPr>
          <w:sz w:val="24"/>
          <w:szCs w:val="24"/>
        </w:rPr>
      </w:pPr>
      <w:r>
        <w:rPr>
          <w:sz w:val="24"/>
          <w:szCs w:val="24"/>
        </w:rPr>
        <w:t xml:space="preserve">2.1. Цена Контракта установлена на основании результатов электронного аукциона и составляет в текущих ценах </w:t>
      </w:r>
      <w:r>
        <w:rPr>
          <w:b/>
          <w:sz w:val="24"/>
          <w:szCs w:val="24"/>
          <w:u w:val="single"/>
        </w:rPr>
        <w:t>951 573 рубля 28 копеек (девятьсот пятьдесят одна тысяча пятьсот семьдесят три рубля двадцать восемь копеек)</w:t>
      </w:r>
      <w:r>
        <w:rPr>
          <w:sz w:val="24"/>
          <w:szCs w:val="24"/>
        </w:rPr>
        <w:t>, в том числе:</w:t>
      </w:r>
    </w:p>
    <w:p>
      <w:pPr>
        <w:pStyle w:val="Normal"/>
        <w:keepLines/>
        <w:widowControl w:val="false"/>
        <w:jc w:val="both"/>
        <w:rPr>
          <w:sz w:val="24"/>
          <w:szCs w:val="24"/>
        </w:rPr>
      </w:pPr>
      <w:r>
        <w:rPr>
          <w:sz w:val="24"/>
          <w:szCs w:val="24"/>
        </w:rPr>
        <w:t xml:space="preserve">            </w:t>
      </w:r>
      <w:r>
        <w:rPr>
          <w:sz w:val="24"/>
          <w:szCs w:val="24"/>
        </w:rPr>
        <w:t>за счет средств бюджета Орловской области 798 779 рублей 92 копейки,</w:t>
      </w:r>
    </w:p>
    <w:p>
      <w:pPr>
        <w:pStyle w:val="Normal"/>
        <w:widowControl w:val="false"/>
        <w:ind w:firstLine="709"/>
        <w:jc w:val="both"/>
        <w:rPr>
          <w:sz w:val="24"/>
          <w:szCs w:val="24"/>
        </w:rPr>
      </w:pPr>
      <w:r>
        <w:rPr>
          <w:sz w:val="24"/>
          <w:szCs w:val="24"/>
        </w:rPr>
        <w:t>за счет средств бюджета городского поселения Змиевка Свердловского района Орловской области 152 793 рубля 36 копеек.</w:t>
      </w:r>
    </w:p>
    <w:p>
      <w:pPr>
        <w:pStyle w:val="Normal"/>
        <w:widowControl w:val="false"/>
        <w:ind w:firstLine="709"/>
        <w:jc w:val="both"/>
        <w:rPr>
          <w:sz w:val="24"/>
          <w:szCs w:val="24"/>
        </w:rPr>
      </w:pPr>
      <w:r>
        <w:rPr>
          <w:sz w:val="24"/>
          <w:szCs w:val="24"/>
        </w:rPr>
        <w:t xml:space="preserve">2.2. В случае, если указанная в п. 2.1 Контракта цена определена путем проведения электронного аукциона на </w:t>
      </w:r>
      <w:r>
        <w:rPr>
          <w:sz w:val="24"/>
          <w:szCs w:val="24"/>
          <w:u w:val="single"/>
        </w:rPr>
        <w:t>понижение цены</w:t>
      </w:r>
      <w:r>
        <w:rPr>
          <w:sz w:val="24"/>
          <w:szCs w:val="24"/>
        </w:rPr>
        <w:t>,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ind w:firstLine="709"/>
        <w:jc w:val="both"/>
        <w:rPr>
          <w:rFonts w:eastAsia="Calibri"/>
          <w:sz w:val="24"/>
          <w:szCs w:val="24"/>
          <w:lang w:eastAsia="en-US"/>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p>
    <w:p>
      <w:pPr>
        <w:pStyle w:val="Normal"/>
        <w:widowControl w:val="false"/>
        <w:ind w:firstLine="709"/>
        <w:jc w:val="both"/>
        <w:rPr>
          <w:rFonts w:eastAsia="Calibri"/>
          <w:sz w:val="24"/>
          <w:szCs w:val="24"/>
          <w:lang w:eastAsia="en-US"/>
        </w:rPr>
      </w:pPr>
      <w:r>
        <w:rPr>
          <w:sz w:val="24"/>
          <w:szCs w:val="24"/>
        </w:rPr>
        <w:t xml:space="preserve">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w:t>
      </w:r>
      <w:r>
        <w:rPr>
          <w:rFonts w:eastAsia="Calibri"/>
          <w:sz w:val="24"/>
          <w:szCs w:val="24"/>
          <w:lang w:eastAsia="en-US"/>
        </w:rPr>
        <w:t>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ind w:firstLine="709"/>
        <w:jc w:val="both"/>
        <w:rPr>
          <w:sz w:val="24"/>
          <w:szCs w:val="24"/>
        </w:rPr>
      </w:pPr>
      <w:r>
        <w:rPr>
          <w:sz w:val="24"/>
          <w:szCs w:val="24"/>
        </w:rPr>
        <w:t>Расчёт фактической стоимости выполненных работ производится Сторонами индексным методом. Распределение стоимости работ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ind w:firstLine="709"/>
        <w:jc w:val="both"/>
        <w:rPr>
          <w:sz w:val="24"/>
          <w:szCs w:val="24"/>
        </w:rPr>
      </w:pPr>
      <w:r>
        <w:rPr>
          <w:sz w:val="24"/>
          <w:szCs w:val="24"/>
        </w:rPr>
        <w:t>2.2.3. В цену Контракта включена стоимость всех затрат Подрядчика, необходимых для выполнения работ по Контракту.</w:t>
      </w:r>
    </w:p>
    <w:p>
      <w:pPr>
        <w:pStyle w:val="Normal"/>
        <w:widowControl w:val="false"/>
        <w:ind w:firstLine="709"/>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сметной документации.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ind w:firstLine="709"/>
        <w:jc w:val="both"/>
        <w:rPr>
          <w:sz w:val="24"/>
          <w:szCs w:val="24"/>
        </w:rPr>
      </w:pPr>
      <w:r>
        <w:rPr>
          <w:sz w:val="24"/>
          <w:szCs w:val="24"/>
        </w:rPr>
        <w:t xml:space="preserve">2.2.5. </w:t>
      </w:r>
      <w:r>
        <w:rPr>
          <w:b/>
          <w:sz w:val="24"/>
          <w:szCs w:val="24"/>
          <w:u w:val="single"/>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w:t>
      </w:r>
    </w:p>
    <w:p>
      <w:pPr>
        <w:pStyle w:val="Normal"/>
        <w:widowControl w:val="false"/>
        <w:ind w:firstLine="709"/>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w:t>
      </w:r>
    </w:p>
    <w:p>
      <w:pPr>
        <w:pStyle w:val="Normal"/>
        <w:widowControl w:val="false"/>
        <w:tabs>
          <w:tab w:val="left" w:pos="900" w:leader="none"/>
        </w:tabs>
        <w:ind w:firstLine="709"/>
        <w:jc w:val="both"/>
        <w:rPr/>
      </w:pPr>
      <w:r>
        <w:rPr>
          <w:kern w:val="2"/>
          <w:sz w:val="24"/>
          <w:szCs w:val="24"/>
          <w:lang w:eastAsia="hi-IN" w:bidi="hi-IN"/>
        </w:rPr>
        <w:t xml:space="preserve">2.2.6. </w:t>
      </w:r>
      <w:r>
        <w:rPr>
          <w:sz w:val="24"/>
          <w:szCs w:val="24"/>
        </w:rPr>
        <w:t xml:space="preserve">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1"/>
            <w:sz w:val="24"/>
          </w:rPr>
          <w:t>обеспечить согласование</w:t>
        </w:r>
      </w:hyperlink>
      <w:r>
        <w:rPr>
          <w:sz w:val="24"/>
          <w:szCs w:val="24"/>
        </w:rPr>
        <w:t xml:space="preserve"> в соответствии с </w:t>
      </w:r>
      <w:hyperlink r:id="rId3">
        <w:r>
          <w:rPr>
            <w:rStyle w:val="ListLabel1"/>
            <w:sz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ind w:firstLine="709"/>
        <w:jc w:val="both"/>
        <w:rPr>
          <w:rFonts w:eastAsia="Calibri"/>
          <w:sz w:val="24"/>
          <w:szCs w:val="24"/>
          <w:lang w:eastAsia="en-US"/>
        </w:rPr>
      </w:pPr>
      <w:r>
        <w:rPr>
          <w:sz w:val="24"/>
          <w:szCs w:val="24"/>
        </w:rPr>
        <w:t xml:space="preserve">2.2.7. Цена Контракта, указанная в п. 2.1 Контракта, может быть снижена по соглашению Сторон </w:t>
      </w:r>
      <w:r>
        <w:rPr>
          <w:rFonts w:eastAsia="Calibri"/>
          <w:sz w:val="24"/>
          <w:szCs w:val="24"/>
          <w:lang w:eastAsia="en-US"/>
        </w:rPr>
        <w:t>без изменения предусмотренных Контрактом объема и качества выполняемых работ и иных условий Контракта.</w:t>
      </w:r>
    </w:p>
    <w:p>
      <w:pPr>
        <w:pStyle w:val="Normal"/>
        <w:widowControl w:val="false"/>
        <w:ind w:firstLine="709"/>
        <w:jc w:val="both"/>
        <w:rPr>
          <w:rFonts w:eastAsia="Calibri"/>
          <w:sz w:val="24"/>
          <w:szCs w:val="24"/>
          <w:lang w:eastAsia="en-US"/>
        </w:rPr>
      </w:pPr>
      <w:r>
        <w:rPr>
          <w:rFonts w:eastAsia="Calibri"/>
          <w:sz w:val="24"/>
          <w:szCs w:val="24"/>
          <w:lang w:eastAsia="en-US"/>
        </w:rPr>
        <w:t>2.2.8. При уменьшении предусмотренного Контрактом объема работ в порядке, установленном п. 12.9 Контракта, Стороны обязаны уменьшить цену Контракта исходя из цены единицы работ.</w:t>
      </w:r>
    </w:p>
    <w:p>
      <w:pPr>
        <w:pStyle w:val="Normal"/>
        <w:widowControl w:val="false"/>
        <w:ind w:firstLine="709"/>
        <w:jc w:val="both"/>
        <w:rPr>
          <w:sz w:val="24"/>
          <w:szCs w:val="24"/>
        </w:rPr>
      </w:pPr>
      <w:r>
        <w:rPr>
          <w:rFonts w:eastAsia="Calibri"/>
          <w:sz w:val="24"/>
          <w:szCs w:val="24"/>
          <w:lang w:eastAsia="en-US"/>
        </w:rPr>
        <w:t xml:space="preserve">В случае увеличения предусмотренного Контрактом объема работ в порядке, установленном п. 12.9 Контракта, допускается изменение </w:t>
      </w:r>
      <w:r>
        <w:rPr>
          <w:sz w:val="24"/>
          <w:szCs w:val="24"/>
        </w:rPr>
        <w:t>с учетом положений бюджетного законодательства Российской Федерации цены Контракта пропорционально дополнительному объему работ исходя из</w:t>
      </w:r>
      <w:r>
        <w:rPr>
          <w:rFonts w:eastAsia="Calibri"/>
          <w:sz w:val="24"/>
          <w:szCs w:val="24"/>
          <w:lang w:eastAsia="en-US"/>
        </w:rPr>
        <w:t xml:space="preserve"> цены единицы работ,</w:t>
      </w:r>
      <w:r>
        <w:rPr>
          <w:sz w:val="24"/>
          <w:szCs w:val="24"/>
        </w:rPr>
        <w:t xml:space="preserve"> но не более чем на десять процентов цены Контракта.</w:t>
      </w:r>
    </w:p>
    <w:p>
      <w:pPr>
        <w:pStyle w:val="Normal"/>
        <w:widowControl w:val="false"/>
        <w:ind w:firstLine="709"/>
        <w:jc w:val="both"/>
        <w:rPr>
          <w:sz w:val="24"/>
          <w:szCs w:val="24"/>
        </w:rPr>
      </w:pPr>
      <w:r>
        <w:rPr>
          <w:sz w:val="24"/>
          <w:szCs w:val="24"/>
        </w:rPr>
        <w:t xml:space="preserve">2.3. В случае, если указанная в п. 2.1 Контракта цена Контракта определена путем проведения электронного аукциона на </w:t>
      </w:r>
      <w:r>
        <w:rPr>
          <w:sz w:val="24"/>
          <w:szCs w:val="24"/>
          <w:u w:val="single"/>
        </w:rPr>
        <w:t>повышение цены</w:t>
      </w:r>
      <w:r>
        <w:rPr>
          <w:sz w:val="24"/>
          <w:szCs w:val="24"/>
        </w:rPr>
        <w:t>,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jc w:val="center"/>
        <w:rPr>
          <w:b/>
          <w:b/>
          <w:sz w:val="24"/>
          <w:szCs w:val="24"/>
        </w:rPr>
      </w:pPr>
      <w:r>
        <w:rPr>
          <w:b/>
          <w:sz w:val="24"/>
          <w:szCs w:val="24"/>
        </w:rPr>
        <w:t>3. ПРАВА И ОБЯЗАННОСТИ ЗАКАЗЧИКА</w:t>
      </w:r>
    </w:p>
    <w:p>
      <w:pPr>
        <w:pStyle w:val="Normal"/>
        <w:widowControl w:val="false"/>
        <w:shd w:val="clear" w:color="auto" w:fill="FFFFFF"/>
        <w:ind w:firstLine="709"/>
        <w:jc w:val="both"/>
        <w:rPr>
          <w:b/>
          <w:b/>
          <w:sz w:val="24"/>
          <w:szCs w:val="24"/>
        </w:rPr>
      </w:pPr>
      <w:r>
        <w:rPr>
          <w:b/>
          <w:sz w:val="24"/>
          <w:szCs w:val="24"/>
        </w:rPr>
        <w:t>3.1. Заказчик обязан:</w:t>
      </w:r>
    </w:p>
    <w:p>
      <w:pPr>
        <w:pStyle w:val="Normal"/>
        <w:widowControl w:val="false"/>
        <w:ind w:firstLine="709"/>
        <w:jc w:val="both"/>
        <w:rPr>
          <w:sz w:val="24"/>
          <w:szCs w:val="24"/>
        </w:rPr>
      </w:pPr>
      <w:r>
        <w:rPr>
          <w:sz w:val="24"/>
          <w:szCs w:val="24"/>
        </w:rPr>
        <w:t xml:space="preserve">3.1.1. Передать Подрядчику в течение </w:t>
      </w:r>
      <w:r>
        <w:rPr>
          <w:b/>
          <w:sz w:val="24"/>
          <w:szCs w:val="24"/>
        </w:rPr>
        <w:t>3</w:t>
      </w:r>
      <w:r>
        <w:rPr>
          <w:sz w:val="24"/>
          <w:szCs w:val="24"/>
        </w:rPr>
        <w:t xml:space="preserve"> (трех) рабочих дней со дня заключения Контракта сметную документацию, материалы согласований, необходимые для производства работ по Контракту (при необходимости).</w:t>
      </w:r>
    </w:p>
    <w:p>
      <w:pPr>
        <w:pStyle w:val="Normal"/>
        <w:widowControl w:val="false"/>
        <w:ind w:firstLine="709"/>
        <w:jc w:val="both"/>
        <w:rPr>
          <w:sz w:val="24"/>
          <w:szCs w:val="24"/>
        </w:rPr>
      </w:pPr>
      <w:r>
        <w:rPr>
          <w:sz w:val="24"/>
          <w:szCs w:val="24"/>
        </w:rPr>
        <w:t>3.1.2. Произвести приемку выполненных Подрядчиком работ в соответствии с действующим законодательством РФ в порядке, предусмотренном в разделе 6 Контракта.</w:t>
      </w:r>
    </w:p>
    <w:p>
      <w:pPr>
        <w:pStyle w:val="Normal"/>
        <w:widowControl w:val="false"/>
        <w:shd w:val="clear" w:color="auto" w:fill="FFFFFF"/>
        <w:tabs>
          <w:tab w:val="left" w:pos="1087" w:leader="none"/>
        </w:tabs>
        <w:ind w:firstLine="709"/>
        <w:jc w:val="both"/>
        <w:rPr>
          <w:sz w:val="24"/>
          <w:szCs w:val="24"/>
        </w:rPr>
      </w:pPr>
      <w:r>
        <w:rPr>
          <w:sz w:val="24"/>
          <w:szCs w:val="24"/>
        </w:rPr>
        <w:t>3.1.3.</w:t>
        <w:tab/>
        <w:t xml:space="preserve"> В случае, установленном в п. 2.2 Контракта:</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на текущий год;</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сметной документации.</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инициативе Заказчика Стороны проводят сверку расчетов затрат с предоставлением Подрядчиком обосновывающих документов.</w:t>
      </w:r>
    </w:p>
    <w:p>
      <w:pPr>
        <w:pStyle w:val="Normal"/>
        <w:widowControl w:val="false"/>
        <w:ind w:firstLine="709"/>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ind w:firstLine="709"/>
        <w:jc w:val="both"/>
        <w:rPr>
          <w:b/>
          <w:b/>
          <w:sz w:val="24"/>
          <w:szCs w:val="24"/>
          <w:lang w:eastAsia="en-US"/>
        </w:rPr>
      </w:pPr>
      <w:r>
        <w:rPr>
          <w:b/>
          <w:sz w:val="24"/>
          <w:szCs w:val="24"/>
          <w:lang w:eastAsia="en-US"/>
        </w:rPr>
        <w:t>3.2. Заказчик вправе:</w:t>
      </w:r>
    </w:p>
    <w:p>
      <w:pPr>
        <w:pStyle w:val="Normal"/>
        <w:widowControl w:val="false"/>
        <w:ind w:firstLine="709"/>
        <w:jc w:val="both"/>
        <w:rPr>
          <w:sz w:val="24"/>
          <w:szCs w:val="24"/>
          <w:lang w:eastAsia="en-US"/>
        </w:rPr>
      </w:pPr>
      <w:r>
        <w:rPr>
          <w:sz w:val="24"/>
          <w:szCs w:val="24"/>
          <w:lang w:eastAsia="en-US"/>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в соотвествии со сметной документацией,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ind w:firstLine="709"/>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ind w:firstLine="709"/>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ind w:firstLine="709"/>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shd w:val="clear" w:color="auto" w:fill="FFFFFF"/>
        <w:tabs>
          <w:tab w:val="left" w:pos="950" w:leader="none"/>
        </w:tabs>
        <w:ind w:firstLine="709"/>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3.2.5. Отдавать предписания:</w:t>
      </w:r>
    </w:p>
    <w:p>
      <w:pPr>
        <w:pStyle w:val="Normal"/>
        <w:widowControl w:val="false"/>
        <w:ind w:firstLine="709"/>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ind w:firstLine="709"/>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ind w:firstLine="709"/>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ind w:firstLine="709"/>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ind w:firstLine="709"/>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ind w:firstLine="709"/>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ind w:firstLine="709"/>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4. ОБЯЗАННОСТИ ПОДРЯДЧИКА</w:t>
      </w:r>
    </w:p>
    <w:p>
      <w:pPr>
        <w:pStyle w:val="Normal"/>
        <w:widowControl w:val="false"/>
        <w:tabs>
          <w:tab w:val="left" w:pos="1109" w:leader="none"/>
        </w:tabs>
        <w:ind w:firstLine="709"/>
        <w:jc w:val="both"/>
        <w:rPr>
          <w:sz w:val="24"/>
          <w:szCs w:val="24"/>
        </w:rPr>
      </w:pPr>
      <w:r>
        <w:rPr>
          <w:sz w:val="24"/>
          <w:szCs w:val="24"/>
        </w:rPr>
        <w:t>4.1. Выполнить все работы в полном соответствии со сметной документацией,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ind w:firstLine="709"/>
        <w:jc w:val="both"/>
        <w:rPr>
          <w:sz w:val="24"/>
          <w:szCs w:val="24"/>
        </w:rPr>
      </w:pPr>
      <w:r>
        <w:rPr>
          <w:sz w:val="24"/>
          <w:szCs w:val="24"/>
        </w:rPr>
        <w:t xml:space="preserve">4.2. </w:t>
      </w:r>
      <w:r>
        <w:rPr>
          <w:bCs/>
          <w:sz w:val="24"/>
          <w:szCs w:val="24"/>
        </w:rPr>
        <w:t>На всем протяжении выполнения работ о</w:t>
      </w:r>
      <w:r>
        <w:rPr>
          <w:sz w:val="24"/>
          <w:szCs w:val="24"/>
        </w:rPr>
        <w:t>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ind w:firstLine="709"/>
        <w:jc w:val="both"/>
        <w:rPr>
          <w:b/>
          <w:b/>
          <w:sz w:val="24"/>
          <w:szCs w:val="24"/>
        </w:rPr>
      </w:pPr>
      <w:r>
        <w:rPr>
          <w:sz w:val="24"/>
          <w:szCs w:val="24"/>
        </w:rPr>
        <w:t xml:space="preserve">4.3. Выполнить все работы в объемах и в сроки, предусмотренные разделом 5 Контракта, а также Календарным графиком производства работ (Приложение № 2 к Контракту). </w:t>
      </w:r>
    </w:p>
    <w:p>
      <w:pPr>
        <w:pStyle w:val="Normal"/>
        <w:widowControl w:val="false"/>
        <w:ind w:firstLine="709"/>
        <w:jc w:val="both"/>
        <w:rPr>
          <w:sz w:val="24"/>
          <w:szCs w:val="24"/>
        </w:rPr>
      </w:pPr>
      <w:r>
        <w:rPr>
          <w:sz w:val="24"/>
          <w:szCs w:val="24"/>
        </w:rPr>
        <w:t>4.4.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ind w:firstLine="709"/>
        <w:jc w:val="both"/>
        <w:rPr>
          <w:sz w:val="24"/>
          <w:szCs w:val="24"/>
        </w:rPr>
      </w:pPr>
      <w:r>
        <w:rPr>
          <w:sz w:val="24"/>
          <w:szCs w:val="24"/>
        </w:rPr>
        <w:t>4.5. Организовать контроль качества поступающих для выполнения работ товаров (материалов).</w:t>
      </w:r>
    </w:p>
    <w:p>
      <w:pPr>
        <w:pStyle w:val="Normal"/>
        <w:widowControl w:val="false"/>
        <w:tabs>
          <w:tab w:val="left" w:pos="1243" w:leader="none"/>
        </w:tabs>
        <w:ind w:firstLine="709"/>
        <w:jc w:val="both"/>
        <w:rPr>
          <w:sz w:val="24"/>
          <w:szCs w:val="24"/>
        </w:rPr>
      </w:pPr>
      <w:r>
        <w:rPr>
          <w:sz w:val="24"/>
          <w:szCs w:val="24"/>
        </w:rPr>
        <w:t xml:space="preserve">4.6. 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№3 к Контракту. </w:t>
      </w:r>
    </w:p>
    <w:p>
      <w:pPr>
        <w:pStyle w:val="Normal"/>
        <w:widowControl w:val="false"/>
        <w:ind w:firstLine="709"/>
        <w:jc w:val="both"/>
        <w:rPr>
          <w:sz w:val="24"/>
          <w:szCs w:val="24"/>
        </w:rPr>
      </w:pPr>
      <w:r>
        <w:rPr>
          <w:sz w:val="24"/>
          <w:szCs w:val="24"/>
        </w:rPr>
        <w:t>4.7.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ind w:firstLine="709"/>
        <w:jc w:val="both"/>
        <w:rPr>
          <w:sz w:val="24"/>
          <w:szCs w:val="24"/>
        </w:rPr>
      </w:pPr>
      <w:r>
        <w:rPr>
          <w:sz w:val="24"/>
          <w:szCs w:val="24"/>
        </w:rPr>
        <w:t xml:space="preserve">4.8. Обеспечить во время производства работ выполнение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ind w:firstLine="709"/>
        <w:jc w:val="both"/>
        <w:rPr>
          <w:sz w:val="24"/>
          <w:szCs w:val="24"/>
        </w:rPr>
      </w:pPr>
      <w:r>
        <w:rPr>
          <w:sz w:val="24"/>
          <w:szCs w:val="24"/>
        </w:rPr>
        <w:t>4.9.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4.10.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УМВД России по Орловской области схеме организации движения и ограждения мест производства работ.</w:t>
      </w:r>
    </w:p>
    <w:p>
      <w:pPr>
        <w:pStyle w:val="Normal"/>
        <w:widowControl w:val="false"/>
        <w:tabs>
          <w:tab w:val="left" w:pos="1109" w:leader="none"/>
        </w:tabs>
        <w:ind w:firstLine="709"/>
        <w:jc w:val="both"/>
        <w:rPr>
          <w:sz w:val="24"/>
          <w:szCs w:val="24"/>
        </w:rPr>
      </w:pPr>
      <w:r>
        <w:rPr>
          <w:sz w:val="24"/>
          <w:szCs w:val="24"/>
        </w:rPr>
        <w:t>4.11. В случае привлечения субподрядчиков, информировать Заказчика о заключении договора подряда, а так же нести ответственность за надлежащее исполнение субподрядчиком выполняемых работ.</w:t>
      </w:r>
    </w:p>
    <w:p>
      <w:pPr>
        <w:pStyle w:val="Normal"/>
        <w:widowControl w:val="false"/>
        <w:tabs>
          <w:tab w:val="left" w:pos="1368" w:leader="none"/>
        </w:tabs>
        <w:ind w:firstLine="709"/>
        <w:jc w:val="both"/>
        <w:rPr>
          <w:sz w:val="24"/>
          <w:szCs w:val="24"/>
        </w:rPr>
      </w:pPr>
      <w:r>
        <w:rPr>
          <w:sz w:val="24"/>
          <w:szCs w:val="24"/>
        </w:rPr>
        <w:t>4.12.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tabs>
          <w:tab w:val="left" w:pos="1109" w:leader="none"/>
          <w:tab w:val="left" w:pos="1800" w:leader="none"/>
        </w:tabs>
        <w:ind w:firstLine="709"/>
        <w:jc w:val="both"/>
        <w:rPr>
          <w:sz w:val="24"/>
          <w:szCs w:val="24"/>
        </w:rPr>
      </w:pPr>
      <w:r>
        <w:rPr>
          <w:sz w:val="24"/>
          <w:szCs w:val="24"/>
        </w:rPr>
        <w:t>4.13.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tabs>
          <w:tab w:val="left" w:pos="1210" w:leader="none"/>
        </w:tabs>
        <w:ind w:firstLine="709"/>
        <w:jc w:val="both"/>
        <w:rPr>
          <w:sz w:val="24"/>
          <w:szCs w:val="24"/>
        </w:rPr>
      </w:pPr>
      <w:r>
        <w:rPr>
          <w:sz w:val="24"/>
          <w:szCs w:val="24"/>
        </w:rPr>
        <w:t>4.14.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tabs>
          <w:tab w:val="left" w:pos="1210" w:leader="none"/>
        </w:tabs>
        <w:ind w:firstLine="709"/>
        <w:jc w:val="both"/>
        <w:rPr>
          <w:sz w:val="24"/>
          <w:szCs w:val="24"/>
        </w:rPr>
      </w:pPr>
      <w:r>
        <w:rPr>
          <w:sz w:val="24"/>
          <w:szCs w:val="24"/>
        </w:rPr>
        <w:t>4.15. Оплатить за свой счет ущерб, нанесенный третьим лицам по вине Подрядчика при производстве работ.</w:t>
      </w:r>
    </w:p>
    <w:p>
      <w:pPr>
        <w:pStyle w:val="Normal"/>
        <w:widowControl w:val="false"/>
        <w:ind w:firstLine="709"/>
        <w:jc w:val="both"/>
        <w:rPr>
          <w:bCs/>
          <w:sz w:val="24"/>
          <w:szCs w:val="24"/>
        </w:rPr>
      </w:pPr>
      <w:r>
        <w:rPr>
          <w:bCs/>
          <w:sz w:val="24"/>
          <w:szCs w:val="24"/>
        </w:rPr>
        <w:t>4.16.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ind w:firstLine="709"/>
        <w:jc w:val="both"/>
        <w:rPr>
          <w:sz w:val="24"/>
          <w:szCs w:val="24"/>
        </w:rPr>
      </w:pPr>
      <w:r>
        <w:rPr>
          <w:sz w:val="24"/>
          <w:szCs w:val="24"/>
        </w:rPr>
        <w:t xml:space="preserve">4.17.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ind w:firstLine="709"/>
        <w:jc w:val="both"/>
        <w:rPr>
          <w:sz w:val="24"/>
          <w:szCs w:val="24"/>
        </w:rPr>
      </w:pPr>
      <w:r>
        <w:rPr>
          <w:sz w:val="24"/>
          <w:szCs w:val="24"/>
        </w:rPr>
        <w:t>4.18.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ind w:firstLine="709"/>
        <w:jc w:val="both"/>
        <w:rPr>
          <w:sz w:val="24"/>
          <w:szCs w:val="24"/>
        </w:rPr>
      </w:pPr>
      <w:r>
        <w:rPr>
          <w:sz w:val="24"/>
          <w:szCs w:val="24"/>
        </w:rPr>
        <w:t xml:space="preserve">4.19. При готовности результата работ по Объекту к сдаче в полном объеме письменно уведомить Заказчика не менее чем за </w:t>
      </w:r>
      <w:r>
        <w:rPr>
          <w:b/>
          <w:sz w:val="24"/>
          <w:szCs w:val="24"/>
        </w:rPr>
        <w:t>3</w:t>
      </w:r>
      <w:r>
        <w:rPr>
          <w:sz w:val="24"/>
          <w:szCs w:val="24"/>
        </w:rPr>
        <w:t xml:space="preserve"> (три) дня до даты приемки работ.</w:t>
      </w:r>
    </w:p>
    <w:p>
      <w:pPr>
        <w:pStyle w:val="Normal"/>
        <w:jc w:val="both"/>
        <w:rPr>
          <w:color w:val="000000"/>
          <w:sz w:val="24"/>
          <w:szCs w:val="24"/>
        </w:rPr>
      </w:pPr>
      <w:r>
        <w:rPr>
          <w:sz w:val="24"/>
          <w:szCs w:val="24"/>
        </w:rPr>
        <w:t xml:space="preserve">4.21. В течение </w:t>
      </w:r>
      <w:r>
        <w:rPr>
          <w:b/>
          <w:sz w:val="24"/>
          <w:szCs w:val="24"/>
        </w:rPr>
        <w:t>3 (трех)</w:t>
      </w:r>
      <w:r>
        <w:rPr>
          <w:sz w:val="24"/>
          <w:szCs w:val="24"/>
        </w:rPr>
        <w:t xml:space="preserve"> календарных дней со дня приемки результата работ Заказчиком выдать гарантийный паспорт на гарантийный срок эксплуатации результата работ продолжительностью:                                                                                                                                                     1)проездов,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2) скамеек, урн — 2года;</w:t>
      </w:r>
    </w:p>
    <w:p>
      <w:pPr>
        <w:pStyle w:val="Normal"/>
        <w:jc w:val="both"/>
        <w:rPr>
          <w:b/>
          <w:b/>
          <w:bCs/>
          <w:sz w:val="24"/>
          <w:szCs w:val="24"/>
        </w:rPr>
      </w:pPr>
      <w:r>
        <w:rPr>
          <w:color w:val="000000"/>
          <w:sz w:val="24"/>
          <w:szCs w:val="24"/>
        </w:rPr>
        <w:t>3) освещения дворовой территории- 2 года.</w:t>
      </w:r>
    </w:p>
    <w:p>
      <w:pPr>
        <w:pStyle w:val="Normal"/>
        <w:widowControl w:val="false"/>
        <w:ind w:firstLine="709"/>
        <w:jc w:val="both"/>
        <w:rPr>
          <w:sz w:val="24"/>
          <w:szCs w:val="24"/>
        </w:rPr>
      </w:pPr>
      <w:r>
        <w:rPr>
          <w:sz w:val="24"/>
          <w:szCs w:val="24"/>
        </w:rPr>
        <w:t>4.22. По требованию Заказчика осуществлять сверку взаимных расчетов путем подписания Акта сверки взаимных расчетов.</w:t>
      </w:r>
    </w:p>
    <w:p>
      <w:pPr>
        <w:pStyle w:val="Normal"/>
        <w:widowControl w:val="false"/>
        <w:ind w:firstLine="709"/>
        <w:jc w:val="both"/>
        <w:rPr>
          <w:sz w:val="24"/>
          <w:szCs w:val="24"/>
        </w:rPr>
      </w:pPr>
      <w:r>
        <w:rPr>
          <w:sz w:val="24"/>
          <w:szCs w:val="24"/>
        </w:rPr>
        <w:t>4.23. Устранять все замечания Заказчика, выданные в порядке, предусмотренном п. 3.2.5 Контракта.</w:t>
      </w:r>
    </w:p>
    <w:p>
      <w:pPr>
        <w:pStyle w:val="Normal"/>
        <w:widowControl w:val="false"/>
        <w:ind w:firstLine="709"/>
        <w:jc w:val="both"/>
        <w:rPr>
          <w:bCs/>
          <w:sz w:val="24"/>
          <w:szCs w:val="24"/>
        </w:rPr>
      </w:pPr>
      <w:r>
        <w:rPr>
          <w:sz w:val="24"/>
          <w:szCs w:val="24"/>
        </w:rPr>
        <w:t xml:space="preserve">4.24. </w:t>
      </w:r>
      <w:r>
        <w:rPr>
          <w:bCs/>
          <w:sz w:val="24"/>
          <w:szCs w:val="24"/>
        </w:rPr>
        <w:t xml:space="preserve">По окончании </w:t>
      </w:r>
      <w:r>
        <w:rPr>
          <w:sz w:val="24"/>
          <w:szCs w:val="24"/>
        </w:rPr>
        <w:t>выполнения работ</w:t>
      </w:r>
      <w:r>
        <w:rPr>
          <w:bCs/>
          <w:sz w:val="24"/>
          <w:szCs w:val="24"/>
        </w:rPr>
        <w:t xml:space="preserve"> по Контракту сдать результат работ </w:t>
      </w:r>
      <w:r>
        <w:rPr>
          <w:sz w:val="24"/>
          <w:szCs w:val="24"/>
        </w:rPr>
        <w:t>З</w:t>
      </w:r>
      <w:r>
        <w:rPr>
          <w:bCs/>
          <w:sz w:val="24"/>
          <w:szCs w:val="24"/>
        </w:rPr>
        <w:t>аказчику</w:t>
      </w:r>
      <w:r>
        <w:rPr>
          <w:sz w:val="24"/>
          <w:szCs w:val="24"/>
        </w:rPr>
        <w:t xml:space="preserve"> в</w:t>
      </w:r>
      <w:r>
        <w:rPr>
          <w:bCs/>
          <w:sz w:val="24"/>
          <w:szCs w:val="24"/>
        </w:rPr>
        <w:t xml:space="preserve">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 xml:space="preserve">4.25.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Распоряжением Росавтодора от 23.05.2002 № ИС-478-р и ГОСТ 32756-2014. </w:t>
      </w:r>
    </w:p>
    <w:p>
      <w:pPr>
        <w:pStyle w:val="Normal"/>
        <w:widowControl w:val="false"/>
        <w:ind w:firstLine="709"/>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ind w:firstLine="709"/>
        <w:jc w:val="both"/>
        <w:rPr>
          <w:bCs/>
          <w:sz w:val="24"/>
          <w:szCs w:val="24"/>
        </w:rPr>
      </w:pPr>
      <w:r>
        <w:rPr>
          <w:sz w:val="24"/>
          <w:szCs w:val="24"/>
        </w:rPr>
        <w:t xml:space="preserve">4.26. </w:t>
      </w:r>
      <w:r>
        <w:rPr>
          <w:bCs/>
          <w:sz w:val="24"/>
          <w:szCs w:val="24"/>
        </w:rPr>
        <w:t>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w:t>
      </w:r>
      <w:r>
        <w:rPr>
          <w:b/>
          <w:bCs/>
          <w:sz w:val="24"/>
          <w:szCs w:val="24"/>
        </w:rPr>
        <w:t>в двух экземплярах</w:t>
      </w:r>
      <w:r>
        <w:rPr>
          <w:bCs/>
          <w:sz w:val="24"/>
          <w:szCs w:val="24"/>
        </w:rPr>
        <w:t>).</w:t>
      </w:r>
    </w:p>
    <w:p>
      <w:pPr>
        <w:pStyle w:val="Normal"/>
        <w:widowControl w:val="false"/>
        <w:ind w:firstLine="709"/>
        <w:jc w:val="both"/>
        <w:rPr>
          <w:sz w:val="24"/>
          <w:szCs w:val="24"/>
        </w:rPr>
      </w:pPr>
      <w:r>
        <w:rPr>
          <w:bCs/>
          <w:sz w:val="24"/>
          <w:szCs w:val="24"/>
        </w:rPr>
        <w:t>4.27. На всем протяжении выполнения работ осуществлять контроль за принятием новых или внесением изменений в действующие нормативные правовые акты</w:t>
      </w:r>
      <w:r>
        <w:rPr>
          <w:sz w:val="24"/>
          <w:szCs w:val="24"/>
        </w:rPr>
        <w:t xml:space="preserve"> и нормативно-технические документы РФ, оказывающих влияние на ход и результата выполнения работ. </w:t>
      </w:r>
    </w:p>
    <w:p>
      <w:pPr>
        <w:pStyle w:val="Normal"/>
        <w:widowControl w:val="false"/>
        <w:ind w:firstLine="709"/>
        <w:jc w:val="both"/>
        <w:rPr>
          <w:sz w:val="24"/>
          <w:szCs w:val="24"/>
        </w:rPr>
      </w:pPr>
      <w:r>
        <w:rPr>
          <w:sz w:val="24"/>
          <w:szCs w:val="24"/>
        </w:rPr>
        <w:t xml:space="preserve"> </w:t>
      </w:r>
      <w:r>
        <w:rPr>
          <w:sz w:val="24"/>
          <w:szCs w:val="24"/>
        </w:rPr>
        <w:t xml:space="preserve">В случае введения в действие новых </w:t>
      </w:r>
      <w:r>
        <w:rPr>
          <w:bCs/>
          <w:sz w:val="24"/>
          <w:szCs w:val="24"/>
        </w:rPr>
        <w:t xml:space="preserve">и/или внесения изменений в действующие нормативные правовые акты </w:t>
      </w:r>
      <w:r>
        <w:rPr>
          <w:sz w:val="24"/>
          <w:szCs w:val="24"/>
        </w:rPr>
        <w:t>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ind w:firstLine="709"/>
        <w:jc w:val="both"/>
        <w:rPr>
          <w:sz w:val="24"/>
          <w:szCs w:val="24"/>
        </w:rPr>
      </w:pPr>
      <w:r>
        <w:rPr>
          <w:bCs/>
          <w:sz w:val="24"/>
          <w:szCs w:val="24"/>
        </w:rPr>
        <w:t xml:space="preserve">4.28. </w:t>
      </w:r>
      <w:r>
        <w:rPr>
          <w:sz w:val="24"/>
          <w:szCs w:val="24"/>
        </w:rPr>
        <w:t>Нести иные обязанности в соответствии с Контрактом и действующим законодательством Российской Федерации.</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5. СРОКИ ВЫПОЛНЕНИЯ РАБОТ</w:t>
      </w:r>
    </w:p>
    <w:p>
      <w:pPr>
        <w:pStyle w:val="Normal"/>
        <w:widowControl w:val="false"/>
        <w:ind w:firstLine="709"/>
        <w:jc w:val="both"/>
        <w:rPr>
          <w:sz w:val="24"/>
          <w:szCs w:val="24"/>
        </w:rPr>
      </w:pPr>
      <w:r>
        <w:rPr>
          <w:sz w:val="24"/>
          <w:szCs w:val="24"/>
        </w:rPr>
        <w:t>5.1. Календарные сроки выполнения работ определены Сторонами:</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 xml:space="preserve">Начало выполнения работ – с 20 апреля 2020 года. </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Окончание выполнения работ – 10 июля 2020 года. В один этап.</w:t>
      </w:r>
    </w:p>
    <w:p>
      <w:pPr>
        <w:pStyle w:val="Normal"/>
        <w:widowControl w:val="false"/>
        <w:numPr>
          <w:ilvl w:val="0"/>
          <w:numId w:val="0"/>
        </w:numPr>
        <w:ind w:firstLine="709"/>
        <w:jc w:val="both"/>
        <w:outlineLvl w:val="0"/>
        <w:rPr>
          <w:sz w:val="24"/>
          <w:szCs w:val="24"/>
        </w:rPr>
      </w:pPr>
      <w:r>
        <w:rPr>
          <w:sz w:val="24"/>
          <w:szCs w:val="24"/>
        </w:rPr>
        <w:t>Распределение объемов работ и сроки окончания выполнения работ определяются Календарным графиком производства работ (Приложение № 2 к Контракту).</w:t>
      </w:r>
    </w:p>
    <w:p>
      <w:pPr>
        <w:pStyle w:val="Normal"/>
        <w:widowControl w:val="false"/>
        <w:ind w:firstLine="709"/>
        <w:jc w:val="both"/>
        <w:rPr>
          <w:sz w:val="24"/>
          <w:szCs w:val="24"/>
        </w:rPr>
      </w:pPr>
      <w:r>
        <w:rPr>
          <w:sz w:val="24"/>
          <w:szCs w:val="24"/>
        </w:rPr>
        <w:t xml:space="preserve">5.2. Подрядчик должен выполнять работу в установленные сроки. </w:t>
      </w:r>
    </w:p>
    <w:p>
      <w:pPr>
        <w:pStyle w:val="Normal"/>
        <w:widowControl w:val="false"/>
        <w:ind w:firstLine="709"/>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rPr>
          <w:b/>
          <w:b/>
          <w:sz w:val="24"/>
          <w:szCs w:val="24"/>
        </w:rPr>
      </w:pPr>
      <w:r>
        <w:rPr>
          <w:b/>
          <w:sz w:val="24"/>
          <w:szCs w:val="24"/>
        </w:rPr>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ind w:firstLine="709"/>
        <w:jc w:val="both"/>
        <w:rPr>
          <w:rFonts w:eastAsia="Calibri"/>
          <w:sz w:val="24"/>
          <w:szCs w:val="24"/>
          <w:lang w:eastAsia="en-US"/>
        </w:rPr>
      </w:pPr>
      <w:r>
        <w:rPr>
          <w:rFonts w:eastAsia="Calibri"/>
          <w:sz w:val="24"/>
          <w:szCs w:val="24"/>
          <w:lang w:eastAsia="en-US"/>
        </w:rPr>
        <w:t xml:space="preserve">6.1. Сдаче-приемке подлежат выполненные в соответствии со </w:t>
      </w:r>
      <w:r>
        <w:rPr>
          <w:sz w:val="24"/>
          <w:szCs w:val="24"/>
        </w:rPr>
        <w:t>сметной документацией</w:t>
      </w:r>
      <w:r>
        <w:rPr>
          <w:rFonts w:eastAsia="Calibri"/>
          <w:sz w:val="24"/>
          <w:szCs w:val="24"/>
          <w:lang w:eastAsia="en-US"/>
        </w:rPr>
        <w:t xml:space="preserve"> и условиями Контракта работы, в том числе скрытые. </w:t>
      </w:r>
    </w:p>
    <w:p>
      <w:pPr>
        <w:pStyle w:val="Normal"/>
        <w:widowControl w:val="false"/>
        <w:ind w:firstLine="709"/>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ind w:firstLine="709"/>
        <w:jc w:val="both"/>
        <w:rPr>
          <w:sz w:val="24"/>
          <w:szCs w:val="24"/>
        </w:rPr>
      </w:pPr>
      <w:r>
        <w:rPr>
          <w:sz w:val="24"/>
          <w:szCs w:val="24"/>
        </w:rPr>
        <w:t xml:space="preserve">Подрядчик за </w:t>
      </w:r>
      <w:r>
        <w:rPr>
          <w:b/>
          <w:sz w:val="24"/>
          <w:szCs w:val="24"/>
        </w:rPr>
        <w:t xml:space="preserve">3 </w:t>
      </w:r>
      <w:r>
        <w:rPr>
          <w:sz w:val="24"/>
          <w:szCs w:val="24"/>
        </w:rPr>
        <w:t xml:space="preserve">(три) рабочих дня письменно информирует Заказчика о необходимости освидетельствования скрытых работ. </w:t>
      </w:r>
    </w:p>
    <w:p>
      <w:pPr>
        <w:pStyle w:val="Normal"/>
        <w:widowControl w:val="false"/>
        <w:ind w:firstLine="709"/>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ind w:firstLine="709"/>
        <w:jc w:val="both"/>
        <w:rPr>
          <w:sz w:val="24"/>
          <w:szCs w:val="24"/>
        </w:rPr>
      </w:pPr>
      <w:r>
        <w:rPr>
          <w:sz w:val="24"/>
          <w:szCs w:val="24"/>
        </w:rPr>
        <w:t xml:space="preserve">6.4. Промежуточной приемке подлежат выполненные в течение месяца работы. </w:t>
      </w:r>
    </w:p>
    <w:p>
      <w:pPr>
        <w:pStyle w:val="Normal"/>
        <w:widowControl w:val="false"/>
        <w:ind w:firstLine="709"/>
        <w:jc w:val="both"/>
        <w:rPr>
          <w:sz w:val="24"/>
          <w:szCs w:val="24"/>
        </w:rPr>
      </w:pPr>
      <w:r>
        <w:rPr>
          <w:sz w:val="24"/>
          <w:szCs w:val="24"/>
        </w:rPr>
        <w:t xml:space="preserve">6.5. Подрядчик за </w:t>
      </w:r>
      <w:r>
        <w:rPr>
          <w:b/>
          <w:sz w:val="24"/>
          <w:szCs w:val="24"/>
        </w:rPr>
        <w:t xml:space="preserve">3 </w:t>
      </w:r>
      <w:r>
        <w:rPr>
          <w:sz w:val="24"/>
          <w:szCs w:val="24"/>
        </w:rPr>
        <w:t>(три)рабочих дня обязан письменно известить Заказчика о готовности к сдаче выполненных работ.</w:t>
      </w:r>
    </w:p>
    <w:p>
      <w:pPr>
        <w:pStyle w:val="Normal"/>
        <w:widowControl w:val="false"/>
        <w:ind w:firstLine="709"/>
        <w:jc w:val="both"/>
        <w:rPr>
          <w:sz w:val="24"/>
          <w:szCs w:val="24"/>
        </w:rPr>
      </w:pPr>
      <w:r>
        <w:rPr>
          <w:sz w:val="24"/>
          <w:szCs w:val="24"/>
        </w:rPr>
        <w:t xml:space="preserve">Заказчик имеет право отложить дату приемки, если это не приводит к технологическим простоям, но не более чем на </w:t>
      </w:r>
      <w:r>
        <w:rPr>
          <w:b/>
          <w:sz w:val="24"/>
          <w:szCs w:val="24"/>
        </w:rPr>
        <w:t xml:space="preserve">3 </w:t>
      </w:r>
      <w:r>
        <w:rPr>
          <w:sz w:val="24"/>
          <w:szCs w:val="24"/>
        </w:rPr>
        <w:t>(три)рабочих дня. При этом Заказчик должен уведомить Подрядчика об изменении даты приемки.</w:t>
      </w:r>
    </w:p>
    <w:p>
      <w:pPr>
        <w:pStyle w:val="Normal"/>
        <w:widowControl w:val="false"/>
        <w:shd w:val="clear" w:color="auto" w:fill="FFFFFF"/>
        <w:tabs>
          <w:tab w:val="left" w:pos="950" w:leader="none"/>
        </w:tabs>
        <w:ind w:firstLine="709"/>
        <w:jc w:val="both"/>
        <w:rPr>
          <w:sz w:val="24"/>
          <w:szCs w:val="24"/>
        </w:rPr>
      </w:pPr>
      <w:r>
        <w:rPr>
          <w:sz w:val="24"/>
          <w:szCs w:val="24"/>
        </w:rPr>
        <w:t xml:space="preserve">6.6. Для осуществления приемки выполненных работ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ind w:firstLine="709"/>
        <w:jc w:val="both"/>
        <w:rPr>
          <w:bCs/>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w:t>
      </w:r>
      <w:r>
        <w:rPr>
          <w:bCs/>
          <w:sz w:val="24"/>
          <w:szCs w:val="24"/>
        </w:rPr>
        <w:t>исполнительную и иную техническую документацию на выполненные работы</w:t>
      </w:r>
      <w:r>
        <w:rPr>
          <w:sz w:val="24"/>
          <w:szCs w:val="24"/>
        </w:rPr>
        <w:t>, оформленную надлежащим образом в соответствии с условиями Контракта</w:t>
      </w:r>
      <w:r>
        <w:rPr>
          <w:bCs/>
          <w:sz w:val="24"/>
          <w:szCs w:val="24"/>
        </w:rPr>
        <w:t xml:space="preserve">. </w:t>
      </w:r>
    </w:p>
    <w:p>
      <w:pPr>
        <w:pStyle w:val="Normal"/>
        <w:widowControl w:val="false"/>
        <w:ind w:firstLine="709"/>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ind w:firstLine="709"/>
        <w:jc w:val="both"/>
        <w:rPr>
          <w:sz w:val="24"/>
          <w:szCs w:val="24"/>
        </w:rPr>
      </w:pPr>
      <w:r>
        <w:rPr>
          <w:sz w:val="24"/>
          <w:szCs w:val="24"/>
        </w:rPr>
        <w:t xml:space="preserve">6.7. Заказчик в течение </w:t>
      </w:r>
      <w:r>
        <w:rPr>
          <w:b/>
          <w:sz w:val="24"/>
          <w:szCs w:val="24"/>
        </w:rPr>
        <w:t>5</w:t>
      </w:r>
      <w:r>
        <w:rPr>
          <w:sz w:val="24"/>
          <w:szCs w:val="24"/>
        </w:rPr>
        <w:t xml:space="preserve"> (пяти) рабочих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ind w:firstLine="709"/>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ind w:firstLine="709"/>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ind w:firstLine="709"/>
        <w:jc w:val="both"/>
        <w:rPr>
          <w:sz w:val="24"/>
          <w:szCs w:val="24"/>
        </w:rPr>
      </w:pPr>
      <w:r>
        <w:rPr>
          <w:sz w:val="24"/>
          <w:szCs w:val="24"/>
        </w:rPr>
        <w:t>6.8.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ind w:firstLine="709"/>
        <w:jc w:val="both"/>
        <w:rPr>
          <w:sz w:val="24"/>
          <w:szCs w:val="24"/>
        </w:rPr>
      </w:pPr>
      <w:r>
        <w:rPr>
          <w:sz w:val="24"/>
          <w:szCs w:val="24"/>
        </w:rPr>
        <w:t xml:space="preserve">Заказчик осуществляет повторную приемку выполненных работ в соответствии с п. п. 6.6 – 6.7 Контракта. </w:t>
      </w:r>
    </w:p>
    <w:p>
      <w:pPr>
        <w:pStyle w:val="Normal"/>
        <w:widowControl w:val="false"/>
        <w:ind w:firstLine="709"/>
        <w:jc w:val="both"/>
        <w:rPr>
          <w:sz w:val="24"/>
          <w:szCs w:val="24"/>
        </w:rPr>
      </w:pPr>
      <w:r>
        <w:rPr>
          <w:sz w:val="24"/>
          <w:szCs w:val="24"/>
        </w:rPr>
        <w:t>6.9. Риск случайной гибели или случайного повреждения результатов выполненных работ по Объекту несет Подрядчик до приемки Заказчиком результата выполненных работ по Объекту в целом.</w:t>
      </w:r>
    </w:p>
    <w:p>
      <w:pPr>
        <w:pStyle w:val="Normal"/>
        <w:widowControl w:val="false"/>
        <w:ind w:firstLine="709"/>
        <w:jc w:val="both"/>
        <w:rPr>
          <w:sz w:val="24"/>
          <w:szCs w:val="24"/>
        </w:rPr>
      </w:pPr>
      <w:r>
        <w:rPr>
          <w:sz w:val="24"/>
          <w:szCs w:val="24"/>
        </w:rPr>
        <w:t xml:space="preserve">Промежуточная приемка выполненных работ не снимает с Подрядчика ответственность за сохранность результатов выполненных работ по Объекту до его приемки в целом. </w:t>
      </w:r>
    </w:p>
    <w:p>
      <w:pPr>
        <w:pStyle w:val="Normal"/>
        <w:widowControl w:val="false"/>
        <w:ind w:firstLine="709"/>
        <w:jc w:val="both"/>
        <w:rPr>
          <w:sz w:val="24"/>
          <w:szCs w:val="24"/>
        </w:rPr>
      </w:pPr>
      <w:r>
        <w:rPr>
          <w:sz w:val="24"/>
          <w:szCs w:val="24"/>
        </w:rPr>
        <w:t xml:space="preserve">6.10. Сдача результата выполненных работ Подрядчиком по Контракту в полном объеме оформляется Актом приемки законченных работ по ремонту автомобильной дороги согласно ВСН 19-89. </w:t>
      </w:r>
    </w:p>
    <w:p>
      <w:pPr>
        <w:pStyle w:val="Normal"/>
        <w:widowControl w:val="false"/>
        <w:ind w:firstLine="709"/>
        <w:jc w:val="both"/>
        <w:rPr>
          <w:sz w:val="24"/>
          <w:szCs w:val="24"/>
        </w:rPr>
      </w:pPr>
      <w:r>
        <w:rPr>
          <w:sz w:val="24"/>
          <w:szCs w:val="24"/>
        </w:rPr>
        <w:t>6.11. В случае, установленном в п. 2.2 Контракта, принятые работы подлежат оплате в следующем порядке:</w:t>
      </w:r>
    </w:p>
    <w:p>
      <w:pPr>
        <w:pStyle w:val="Normal"/>
        <w:widowControl w:val="false"/>
        <w:ind w:firstLine="709"/>
        <w:jc w:val="both"/>
        <w:rPr>
          <w:sz w:val="24"/>
          <w:szCs w:val="24"/>
        </w:rPr>
      </w:pPr>
      <w:r>
        <w:rPr>
          <w:sz w:val="24"/>
          <w:szCs w:val="24"/>
        </w:rPr>
        <w:t>6.11.1. Авансирование работ не предусмотрено.</w:t>
      </w:r>
    </w:p>
    <w:p>
      <w:pPr>
        <w:pStyle w:val="Normal"/>
        <w:widowControl w:val="false"/>
        <w:ind w:firstLine="709"/>
        <w:jc w:val="both"/>
        <w:rPr>
          <w:sz w:val="24"/>
          <w:szCs w:val="24"/>
        </w:rPr>
      </w:pPr>
      <w:r>
        <w:rPr>
          <w:sz w:val="24"/>
          <w:szCs w:val="24"/>
        </w:rPr>
        <w:t>6.11.2.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tabs>
          <w:tab w:val="left" w:pos="936" w:leader="none"/>
        </w:tabs>
        <w:ind w:firstLine="709"/>
        <w:jc w:val="both"/>
        <w:rPr>
          <w:sz w:val="24"/>
          <w:szCs w:val="24"/>
        </w:rPr>
      </w:pPr>
      <w:r>
        <w:rPr>
          <w:sz w:val="24"/>
          <w:szCs w:val="24"/>
        </w:rPr>
        <w:t xml:space="preserve">6.11.3.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течение </w:t>
      </w:r>
      <w:r>
        <w:rPr>
          <w:b/>
          <w:sz w:val="24"/>
          <w:szCs w:val="24"/>
        </w:rPr>
        <w:t xml:space="preserve">15 (пятнадцати) рабочих дней </w:t>
      </w:r>
      <w:r>
        <w:rPr>
          <w:sz w:val="24"/>
          <w:szCs w:val="24"/>
        </w:rPr>
        <w:t xml:space="preserve">с даты </w:t>
      </w:r>
      <w:r>
        <w:rPr>
          <w:iCs/>
          <w:sz w:val="24"/>
          <w:szCs w:val="24"/>
        </w:rPr>
        <w:t xml:space="preserve">подписания Заказчиком Акта о приемке выполненных работ </w:t>
      </w:r>
      <w:r>
        <w:rPr>
          <w:sz w:val="24"/>
          <w:szCs w:val="24"/>
        </w:rPr>
        <w:t>(форма № КС-2) и Справки о стоимости выполненных работ и затрат (форма № КС-3).</w:t>
      </w:r>
    </w:p>
    <w:p>
      <w:pPr>
        <w:pStyle w:val="Normal"/>
        <w:widowControl w:val="false"/>
        <w:ind w:firstLine="709"/>
        <w:jc w:val="both"/>
        <w:rPr>
          <w:sz w:val="24"/>
          <w:szCs w:val="24"/>
          <w:lang w:eastAsia="en-US"/>
        </w:rPr>
      </w:pPr>
      <w:r>
        <w:rPr>
          <w:sz w:val="24"/>
          <w:szCs w:val="24"/>
          <w:lang w:eastAsia="en-US"/>
        </w:rPr>
        <w:t>6.</w:t>
      </w:r>
      <w:r>
        <w:rPr>
          <w:sz w:val="24"/>
          <w:szCs w:val="24"/>
        </w:rPr>
        <w:t>11</w:t>
      </w:r>
      <w:r>
        <w:rPr>
          <w:sz w:val="24"/>
          <w:szCs w:val="24"/>
          <w:lang w:eastAsia="en-US"/>
        </w:rPr>
        <w:t>.4.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ind w:firstLine="709"/>
        <w:jc w:val="both"/>
        <w:rPr>
          <w:strike/>
          <w:sz w:val="24"/>
          <w:szCs w:val="24"/>
        </w:rPr>
      </w:pPr>
      <w:r>
        <w:rPr>
          <w:sz w:val="24"/>
          <w:szCs w:val="24"/>
        </w:rPr>
        <w:t>6.11.5.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ind w:firstLine="709"/>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ind w:firstLine="709"/>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ind w:firstLine="709"/>
        <w:jc w:val="both"/>
        <w:rPr>
          <w:sz w:val="24"/>
          <w:szCs w:val="24"/>
        </w:rPr>
      </w:pPr>
      <w:r>
        <w:rPr>
          <w:sz w:val="24"/>
          <w:szCs w:val="24"/>
        </w:rPr>
        <w:t>6.11.6.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ind w:firstLine="709"/>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6.11.7. Сумма, подлежащая уплате Заказчиком Подрядчику (</w:t>
      </w:r>
      <w:r>
        <w:rPr>
          <w:bCs/>
          <w:sz w:val="24"/>
          <w:szCs w:val="24"/>
        </w:rPr>
        <w:t>юридическому лицу или физическому лицу, в том числе зарегистрированному в качестве индивидуального предпринимателя)</w:t>
      </w:r>
      <w:r>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ind w:firstLine="709"/>
        <w:jc w:val="both"/>
        <w:rPr>
          <w:sz w:val="24"/>
          <w:szCs w:val="24"/>
        </w:rPr>
      </w:pPr>
      <w:r>
        <w:rPr>
          <w:sz w:val="24"/>
          <w:szCs w:val="24"/>
        </w:rPr>
        <w:t>6.12. В случае, установленном в п. 2.3 Контракта, принятые работы оплате не подлежат и выполняются Подрядчиком безвозмездно.</w:t>
      </w:r>
    </w:p>
    <w:p>
      <w:pPr>
        <w:pStyle w:val="Normal"/>
        <w:widowControl w:val="false"/>
        <w:tabs>
          <w:tab w:val="left" w:pos="7360" w:leader="none"/>
        </w:tabs>
        <w:ind w:firstLine="709"/>
        <w:jc w:val="center"/>
        <w:rPr>
          <w:b/>
          <w:b/>
          <w:sz w:val="24"/>
          <w:szCs w:val="24"/>
        </w:rPr>
      </w:pPr>
      <w:r>
        <w:rPr>
          <w:b/>
          <w:sz w:val="24"/>
          <w:szCs w:val="24"/>
        </w:rPr>
      </w:r>
    </w:p>
    <w:p>
      <w:pPr>
        <w:pStyle w:val="Normal"/>
        <w:widowControl w:val="false"/>
        <w:tabs>
          <w:tab w:val="left" w:pos="7360" w:leader="none"/>
        </w:tabs>
        <w:jc w:val="center"/>
        <w:rPr>
          <w:b/>
          <w:b/>
          <w:sz w:val="24"/>
          <w:szCs w:val="24"/>
        </w:rPr>
      </w:pPr>
      <w:r>
        <w:rPr>
          <w:b/>
          <w:sz w:val="24"/>
          <w:szCs w:val="24"/>
        </w:rPr>
        <w:t>7. КОНТРОЛЬ ЗА ВЫПОЛНЕНИЕМ РАБОТ</w:t>
      </w:r>
    </w:p>
    <w:p>
      <w:pPr>
        <w:pStyle w:val="Normal"/>
        <w:widowControl w:val="false"/>
        <w:ind w:firstLine="709"/>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сметной документации,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ind w:firstLine="709"/>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ind w:firstLine="709"/>
        <w:jc w:val="both"/>
        <w:rPr>
          <w:bCs/>
          <w:sz w:val="24"/>
          <w:szCs w:val="24"/>
        </w:rPr>
      </w:pPr>
      <w:r>
        <w:rPr>
          <w:bCs/>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w:t>
      </w:r>
      <w:r>
        <w:rPr>
          <w:sz w:val="24"/>
          <w:szCs w:val="24"/>
        </w:rPr>
        <w:t>Контрактом</w:t>
      </w:r>
      <w:r>
        <w:rPr>
          <w:bCs/>
          <w:sz w:val="24"/>
          <w:szCs w:val="24"/>
        </w:rPr>
        <w:t xml:space="preserve">.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ind w:firstLine="709"/>
        <w:jc w:val="both"/>
        <w:rPr>
          <w:bCs/>
          <w:sz w:val="24"/>
          <w:szCs w:val="24"/>
        </w:rPr>
      </w:pPr>
      <w:r>
        <w:rPr>
          <w:bCs/>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ind w:firstLine="709"/>
        <w:jc w:val="both"/>
        <w:rPr>
          <w:bCs/>
          <w:sz w:val="24"/>
          <w:szCs w:val="24"/>
        </w:rPr>
      </w:pPr>
      <w:r>
        <w:rPr>
          <w:bCs/>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ind w:firstLine="709"/>
        <w:jc w:val="both"/>
        <w:rPr>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ind w:firstLine="709"/>
        <w:jc w:val="center"/>
        <w:rPr>
          <w:b/>
          <w:b/>
          <w:sz w:val="24"/>
          <w:szCs w:val="24"/>
        </w:rPr>
      </w:pPr>
      <w:r>
        <w:rPr>
          <w:b/>
          <w:sz w:val="24"/>
          <w:szCs w:val="24"/>
        </w:rPr>
      </w:r>
    </w:p>
    <w:p>
      <w:pPr>
        <w:pStyle w:val="Normal"/>
        <w:widowControl w:val="false"/>
        <w:ind w:left="480" w:hanging="0"/>
        <w:jc w:val="center"/>
        <w:rPr>
          <w:b/>
          <w:b/>
          <w:color w:val="000000"/>
          <w:sz w:val="24"/>
          <w:szCs w:val="24"/>
        </w:rPr>
      </w:pPr>
      <w:r>
        <w:rPr>
          <w:b/>
          <w:color w:val="000000"/>
          <w:sz w:val="24"/>
          <w:szCs w:val="24"/>
        </w:rPr>
        <w:t>8. ГАРАНТИИ КАЧЕСТВА РЕЗУЛЬТАТА РАБОТ И ОБЕСПЕЧЕНИЕ ГАРАНТИЙНЫХ ОБЯЗАТЕЛЬСТВ</w:t>
      </w:r>
    </w:p>
    <w:p>
      <w:pPr>
        <w:pStyle w:val="Normal"/>
        <w:widowControl w:val="false"/>
        <w:tabs>
          <w:tab w:val="left" w:pos="-142" w:leader="none"/>
          <w:tab w:val="left" w:pos="567" w:leader="none"/>
        </w:tabs>
        <w:ind w:firstLine="567"/>
        <w:jc w:val="both"/>
        <w:rPr>
          <w:sz w:val="24"/>
          <w:szCs w:val="24"/>
        </w:rPr>
      </w:pPr>
      <w:r>
        <w:rPr>
          <w:color w:val="000000"/>
          <w:sz w:val="24"/>
          <w:szCs w:val="24"/>
        </w:rPr>
        <w:t>8.1. Подрядчик</w:t>
      </w:r>
      <w:r>
        <w:rPr>
          <w:sz w:val="24"/>
          <w:szCs w:val="24"/>
        </w:rPr>
        <w:t xml:space="preserve"> гарантирует:</w:t>
      </w:r>
    </w:p>
    <w:p>
      <w:pPr>
        <w:pStyle w:val="Normal"/>
        <w:widowControl w:val="false"/>
        <w:tabs>
          <w:tab w:val="left" w:pos="-142" w:leader="none"/>
          <w:tab w:val="left" w:pos="567" w:leader="none"/>
        </w:tabs>
        <w:ind w:firstLine="567"/>
        <w:jc w:val="both"/>
        <w:rPr>
          <w:sz w:val="24"/>
          <w:szCs w:val="24"/>
        </w:rPr>
      </w:pPr>
      <w:r>
        <w:rPr>
          <w:sz w:val="24"/>
          <w:szCs w:val="24"/>
        </w:rPr>
        <w:t>- выполнение всех работ по Контракту в полном объеме в соответствии со сметными расчетами стоимости работ по ремонту Объекта, качество выполнения всех работ в соответствии с действующими нормативно-техническими актами, строительными нормами и правилами, государственными стандартами;</w:t>
      </w:r>
    </w:p>
    <w:p>
      <w:pPr>
        <w:pStyle w:val="Normal"/>
        <w:widowControl w:val="false"/>
        <w:tabs>
          <w:tab w:val="left" w:pos="-142" w:leader="none"/>
          <w:tab w:val="left" w:pos="567" w:leader="none"/>
        </w:tabs>
        <w:ind w:firstLine="567"/>
        <w:jc w:val="both"/>
        <w:rPr>
          <w:sz w:val="24"/>
          <w:szCs w:val="24"/>
        </w:rPr>
      </w:pPr>
      <w:r>
        <w:rPr>
          <w:sz w:val="24"/>
          <w:szCs w:val="24"/>
        </w:rPr>
        <w:t>- своевременное устранение дефектов и недостатков, выявленных при приемке работ и в период гарантийной эксплуатации Объекта.</w:t>
      </w:r>
    </w:p>
    <w:p>
      <w:pPr>
        <w:pStyle w:val="Normal"/>
        <w:jc w:val="both"/>
        <w:rPr>
          <w:sz w:val="24"/>
          <w:szCs w:val="24"/>
        </w:rPr>
      </w:pPr>
      <w:r>
        <w:rPr>
          <w:sz w:val="24"/>
          <w:szCs w:val="24"/>
        </w:rPr>
        <w:t xml:space="preserve">8.2. Срок гарантии качества результата работ (гарантийный срок): </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widowControl w:val="false"/>
        <w:tabs>
          <w:tab w:val="left" w:pos="-142" w:leader="none"/>
          <w:tab w:val="left" w:pos="567" w:leader="none"/>
        </w:tabs>
        <w:ind w:firstLine="567"/>
        <w:jc w:val="both"/>
        <w:rPr>
          <w:sz w:val="24"/>
          <w:szCs w:val="24"/>
        </w:rPr>
      </w:pPr>
      <w:r>
        <w:rPr>
          <w:spacing w:val="-8"/>
          <w:sz w:val="24"/>
          <w:szCs w:val="24"/>
        </w:rPr>
        <w:t>с даты приемки заказчиком результата работы в целом.</w:t>
      </w:r>
    </w:p>
    <w:p>
      <w:pPr>
        <w:pStyle w:val="Normal"/>
        <w:widowControl w:val="false"/>
        <w:tabs>
          <w:tab w:val="left" w:pos="-142" w:leader="none"/>
          <w:tab w:val="left" w:pos="567" w:leader="none"/>
        </w:tabs>
        <w:ind w:firstLine="567"/>
        <w:jc w:val="both"/>
        <w:rPr>
          <w:sz w:val="24"/>
          <w:szCs w:val="24"/>
        </w:rPr>
      </w:pPr>
      <w:r>
        <w:rPr>
          <w:sz w:val="24"/>
          <w:szCs w:val="24"/>
        </w:rPr>
        <w:t xml:space="preserve">8.3.Если в период гарантийного срока обнаружатся дефекты и недостатки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w:t>
      </w:r>
      <w:r>
        <w:rPr>
          <w:spacing w:val="-4"/>
          <w:sz w:val="24"/>
          <w:szCs w:val="24"/>
        </w:rPr>
        <w:t>Устранение дефектов и недостатков осуществляется Подрядчиком за свой счет.</w:t>
      </w:r>
    </w:p>
    <w:p>
      <w:pPr>
        <w:pStyle w:val="Normal"/>
        <w:widowControl w:val="false"/>
        <w:tabs>
          <w:tab w:val="left" w:pos="-142" w:leader="none"/>
          <w:tab w:val="left" w:pos="567" w:leader="none"/>
        </w:tabs>
        <w:ind w:firstLine="567"/>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tabs>
          <w:tab w:val="left" w:pos="-142" w:leader="none"/>
          <w:tab w:val="left" w:pos="567" w:leader="none"/>
        </w:tabs>
        <w:ind w:firstLine="567"/>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tabs>
          <w:tab w:val="left" w:pos="-142" w:leader="none"/>
          <w:tab w:val="left" w:pos="567" w:leader="none"/>
        </w:tabs>
        <w:ind w:firstLine="567"/>
        <w:jc w:val="both"/>
        <w:rPr>
          <w:sz w:val="24"/>
          <w:szCs w:val="24"/>
        </w:rPr>
      </w:pPr>
      <w:r>
        <w:rPr>
          <w:sz w:val="24"/>
          <w:szCs w:val="24"/>
        </w:rPr>
        <w:t>Наличие дефектов и сроки их устранения фиксируются актом с участием Заказчика, Подрядчика.</w:t>
      </w:r>
    </w:p>
    <w:p>
      <w:pPr>
        <w:pStyle w:val="Normal"/>
        <w:widowControl w:val="false"/>
        <w:tabs>
          <w:tab w:val="left" w:pos="-142" w:leader="none"/>
          <w:tab w:val="left" w:pos="567" w:leader="none"/>
        </w:tabs>
        <w:ind w:firstLine="567"/>
        <w:jc w:val="both"/>
        <w:rPr>
          <w:sz w:val="24"/>
          <w:szCs w:val="24"/>
        </w:rPr>
      </w:pPr>
      <w:r>
        <w:rPr>
          <w:sz w:val="24"/>
          <w:szCs w:val="24"/>
        </w:rPr>
        <w:t>8.4.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tabs>
          <w:tab w:val="left" w:pos="-142" w:leader="none"/>
          <w:tab w:val="left" w:pos="567" w:leader="none"/>
        </w:tabs>
        <w:ind w:firstLine="567"/>
        <w:jc w:val="both"/>
        <w:rPr>
          <w:sz w:val="24"/>
          <w:szCs w:val="24"/>
        </w:rPr>
      </w:pPr>
      <w:r>
        <w:rPr>
          <w:sz w:val="24"/>
          <w:szCs w:val="24"/>
        </w:rPr>
        <w:t>8.5.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ind w:firstLine="567"/>
        <w:jc w:val="both"/>
        <w:rPr>
          <w:rFonts w:eastAsia="Calibri"/>
          <w:sz w:val="24"/>
          <w:szCs w:val="24"/>
        </w:rPr>
      </w:pPr>
      <w:r>
        <w:rPr>
          <w:sz w:val="24"/>
          <w:szCs w:val="24"/>
        </w:rPr>
        <w:t>8.6. В целях обеспечения исполнения гарантийных обязательств по Контракту Подрядчик предоставляет Заказчику обеспечение исполнения гарантийных обязательств по Контракту в размере и форме в соответствии со следующими требованиями:</w:t>
      </w:r>
    </w:p>
    <w:p>
      <w:pPr>
        <w:pStyle w:val="Normal"/>
        <w:ind w:firstLine="567"/>
        <w:jc w:val="both"/>
        <w:rPr>
          <w:rFonts w:eastAsia="Calibri"/>
          <w:sz w:val="24"/>
          <w:szCs w:val="24"/>
        </w:rPr>
      </w:pPr>
      <w:r>
        <w:rPr>
          <w:rFonts w:eastAsia="Calibri"/>
          <w:sz w:val="24"/>
          <w:szCs w:val="24"/>
        </w:rPr>
        <w:t xml:space="preserve">8.6.1. Исполнение гарантийных обязательств </w:t>
      </w:r>
      <w:r>
        <w:rPr>
          <w:sz w:val="24"/>
          <w:szCs w:val="24"/>
        </w:rPr>
        <w:t>Подрядчик</w:t>
      </w:r>
      <w:r>
        <w:rPr>
          <w:rFonts w:eastAsia="Calibri"/>
          <w:sz w:val="24"/>
          <w:szCs w:val="24"/>
        </w:rPr>
        <w:t xml:space="preserve">а, указанных в настоящем разделе Контракта, обеспечиваются предоставлением </w:t>
      </w:r>
      <w:r>
        <w:rPr>
          <w:sz w:val="24"/>
          <w:szCs w:val="24"/>
        </w:rPr>
        <w:t>Подрядчик</w:t>
      </w:r>
      <w:r>
        <w:rPr>
          <w:rFonts w:eastAsia="Calibri"/>
          <w:sz w:val="24"/>
          <w:szCs w:val="24"/>
        </w:rPr>
        <w:t xml:space="preserve">ом банковской гарантии, </w:t>
      </w:r>
      <w:r>
        <w:rPr>
          <w:sz w:val="24"/>
          <w:szCs w:val="24"/>
        </w:rPr>
        <w:t>выданной банком и соответствующей требованиям ст. 45 Закона № 44-ФЗ, а также дополнительным требованиям к банковской гарантии, установленным Правительством Российской Федерации</w:t>
      </w:r>
      <w:r>
        <w:rPr>
          <w:rFonts w:eastAsia="Calibri"/>
          <w:sz w:val="24"/>
          <w:szCs w:val="24"/>
        </w:rPr>
        <w:t xml:space="preserve">, или внесением </w:t>
      </w:r>
      <w:r>
        <w:rPr>
          <w:sz w:val="24"/>
          <w:szCs w:val="24"/>
        </w:rPr>
        <w:t>Подрядчиком</w:t>
      </w:r>
      <w:r>
        <w:rPr>
          <w:rFonts w:eastAsia="Calibri"/>
          <w:sz w:val="24"/>
          <w:szCs w:val="24"/>
        </w:rPr>
        <w:t xml:space="preserve"> денежных средств на счёт, указанный в настоящем разделе Контракта. </w:t>
      </w:r>
    </w:p>
    <w:p>
      <w:pPr>
        <w:pStyle w:val="Normal"/>
        <w:ind w:firstLine="567"/>
        <w:jc w:val="both"/>
        <w:rPr>
          <w:rFonts w:eastAsia="Calibri"/>
          <w:sz w:val="24"/>
          <w:szCs w:val="24"/>
          <w:lang w:eastAsia="en-US"/>
        </w:rPr>
      </w:pPr>
      <w:r>
        <w:rPr>
          <w:rFonts w:eastAsia="Calibri"/>
          <w:sz w:val="24"/>
          <w:szCs w:val="24"/>
          <w:lang w:eastAsia="en-US"/>
        </w:rPr>
        <w:t xml:space="preserve">Размер обеспечения гарантийных обязательств </w:t>
      </w:r>
      <w:r>
        <w:rPr>
          <w:rFonts w:eastAsia="Calibri"/>
          <w:sz w:val="24"/>
          <w:szCs w:val="24"/>
        </w:rPr>
        <w:t>Контракта</w:t>
      </w:r>
      <w:r>
        <w:rPr>
          <w:rFonts w:eastAsia="Calibri"/>
          <w:sz w:val="24"/>
          <w:szCs w:val="24"/>
          <w:lang w:eastAsia="en-US"/>
        </w:rPr>
        <w:t>:</w:t>
      </w:r>
    </w:p>
    <w:p>
      <w:pPr>
        <w:pStyle w:val="Normal"/>
        <w:pBdr>
          <w:top w:val="single" w:sz="4" w:space="1" w:color="000000"/>
          <w:left w:val="single" w:sz="4" w:space="4" w:color="000000"/>
          <w:bottom w:val="single" w:sz="4" w:space="1" w:color="000000"/>
          <w:right w:val="single" w:sz="4" w:space="4" w:color="000000"/>
        </w:pBdr>
        <w:ind w:firstLine="567"/>
        <w:rPr>
          <w:rFonts w:eastAsia="Calibri"/>
          <w:sz w:val="24"/>
          <w:szCs w:val="24"/>
        </w:rPr>
      </w:pPr>
      <w:r>
        <w:rPr>
          <w:rFonts w:eastAsia="Calibri"/>
          <w:sz w:val="24"/>
          <w:szCs w:val="24"/>
        </w:rPr>
        <w:t xml:space="preserve">5 % </w:t>
      </w:r>
      <w:r>
        <w:rPr>
          <w:sz w:val="24"/>
          <w:szCs w:val="24"/>
        </w:rPr>
        <w:t>начальной (максимальной) цены Контракта</w:t>
      </w:r>
      <w:r>
        <w:rPr>
          <w:rFonts w:eastAsia="Calibri"/>
          <w:sz w:val="24"/>
          <w:szCs w:val="24"/>
        </w:rPr>
        <w:t xml:space="preserve">, что составляет </w:t>
      </w:r>
      <w:r>
        <w:rPr>
          <w:sz w:val="24"/>
          <w:szCs w:val="24"/>
        </w:rPr>
        <w:t>50 615 руб. 60 коп.</w:t>
      </w:r>
    </w:p>
    <w:p>
      <w:pPr>
        <w:pStyle w:val="Normal"/>
        <w:tabs>
          <w:tab w:val="left" w:pos="426" w:leader="none"/>
        </w:tabs>
        <w:ind w:firstLine="567"/>
        <w:jc w:val="both"/>
        <w:rPr>
          <w:sz w:val="24"/>
          <w:szCs w:val="24"/>
        </w:rPr>
      </w:pPr>
      <w:r>
        <w:rPr>
          <w:sz w:val="24"/>
          <w:szCs w:val="24"/>
        </w:rPr>
        <w:t xml:space="preserve">Способ представления обеспечения гарантийных обязательств по настоящему </w:t>
      </w:r>
      <w:r>
        <w:rPr>
          <w:rFonts w:eastAsia="Calibri"/>
          <w:sz w:val="24"/>
          <w:szCs w:val="24"/>
        </w:rPr>
        <w:t>Контракт</w:t>
      </w:r>
      <w:r>
        <w:rPr>
          <w:sz w:val="24"/>
          <w:szCs w:val="24"/>
        </w:rPr>
        <w:t>у определяется Подрядчик</w:t>
      </w:r>
      <w:r>
        <w:rPr>
          <w:rFonts w:eastAsia="Calibri"/>
          <w:sz w:val="24"/>
          <w:szCs w:val="24"/>
        </w:rPr>
        <w:t>о</w:t>
      </w:r>
      <w:r>
        <w:rPr>
          <w:sz w:val="24"/>
          <w:szCs w:val="24"/>
        </w:rPr>
        <w:t xml:space="preserve">м самостоятельно. </w:t>
      </w:r>
    </w:p>
    <w:p>
      <w:pPr>
        <w:pStyle w:val="Normal"/>
        <w:widowControl w:val="false"/>
        <w:jc w:val="both"/>
        <w:rPr>
          <w:sz w:val="24"/>
          <w:szCs w:val="24"/>
        </w:rPr>
      </w:pPr>
      <w:r>
        <w:rPr>
          <w:sz w:val="24"/>
          <w:szCs w:val="24"/>
        </w:rPr>
        <w:t xml:space="preserve">Реквизиты счета для перечисления денежных средств в качестве обеспечения гарантийных обязательств: </w:t>
      </w:r>
    </w:p>
    <w:p>
      <w:pPr>
        <w:pStyle w:val="Style21"/>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Normal"/>
        <w:ind w:firstLine="567"/>
        <w:jc w:val="both"/>
        <w:rPr>
          <w:color w:val="000000"/>
          <w:sz w:val="24"/>
          <w:szCs w:val="24"/>
        </w:rPr>
      </w:pPr>
      <w:r>
        <w:rPr>
          <w:color w:val="000000"/>
          <w:sz w:val="24"/>
          <w:szCs w:val="24"/>
        </w:rPr>
        <w:t xml:space="preserve">8.6.2. Срок действия банковской гарантии определяется </w:t>
      </w:r>
      <w:r>
        <w:rPr>
          <w:sz w:val="24"/>
          <w:szCs w:val="24"/>
        </w:rPr>
        <w:t>Подрядчиком</w:t>
      </w:r>
      <w:r>
        <w:rPr>
          <w:color w:val="000000"/>
          <w:sz w:val="24"/>
          <w:szCs w:val="24"/>
        </w:rPr>
        <w:t xml:space="preserve"> самостоятельно. При этом срок действия банковской гарантии должен превышать предусмотренный пунктом 8.2 Контракта срок исполнения гарантийных обязательств, которые должны быть обеспечены такой банковской гарантией, не менее чем на один месяц.</w:t>
      </w:r>
    </w:p>
    <w:p>
      <w:pPr>
        <w:pStyle w:val="Normal"/>
        <w:ind w:firstLine="567"/>
        <w:jc w:val="both"/>
        <w:rPr>
          <w:sz w:val="24"/>
          <w:szCs w:val="24"/>
        </w:rPr>
      </w:pPr>
      <w:r>
        <w:rPr>
          <w:sz w:val="24"/>
          <w:szCs w:val="24"/>
        </w:rPr>
        <w:t>8.6.3.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pPr>
        <w:pStyle w:val="Normal"/>
        <w:ind w:firstLine="567"/>
        <w:jc w:val="both"/>
        <w:rPr>
          <w:sz w:val="24"/>
          <w:szCs w:val="24"/>
        </w:rPr>
      </w:pPr>
      <w:r>
        <w:rPr>
          <w:sz w:val="24"/>
          <w:szCs w:val="24"/>
        </w:rPr>
        <w:t>8.6.4.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гарантийных обязательств (в случае предоставления банковской гарантии в качестве обеспечения исполнения гарантийных обязательств), лицензии на осуществление банковских операций Подрядчик обязан предоставить новое обеспечение исполнения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8.6.5. В случае если в качестве обеспечения исполнения гарантийных обязательств </w:t>
      </w:r>
      <w:r>
        <w:rPr>
          <w:sz w:val="24"/>
          <w:szCs w:val="24"/>
        </w:rPr>
        <w:t>Подрядчик</w:t>
      </w:r>
      <w:r>
        <w:rPr>
          <w:color w:val="000000"/>
          <w:sz w:val="24"/>
          <w:szCs w:val="24"/>
        </w:rPr>
        <w:t xml:space="preserve">ом были внесены денежные средства на счет </w:t>
      </w:r>
      <w:r>
        <w:rPr>
          <w:sz w:val="24"/>
          <w:szCs w:val="24"/>
        </w:rPr>
        <w:t>Заказчика</w:t>
      </w:r>
      <w:r>
        <w:rPr>
          <w:color w:val="000000"/>
          <w:sz w:val="24"/>
          <w:szCs w:val="24"/>
        </w:rPr>
        <w:t xml:space="preserve">, </w:t>
      </w:r>
      <w:r>
        <w:rPr>
          <w:sz w:val="24"/>
          <w:szCs w:val="24"/>
        </w:rPr>
        <w:t>Заказчик</w:t>
      </w:r>
      <w:r>
        <w:rPr>
          <w:color w:val="000000"/>
          <w:sz w:val="24"/>
          <w:szCs w:val="24"/>
        </w:rPr>
        <w:t xml:space="preserve">, после истечения гарантийного срока по Контракту, обязан вернуть указанные денежные средства на расчетный счет </w:t>
      </w:r>
      <w:r>
        <w:rPr>
          <w:sz w:val="24"/>
          <w:szCs w:val="24"/>
        </w:rPr>
        <w:t>Подрядчик</w:t>
      </w:r>
      <w:r>
        <w:rPr>
          <w:color w:val="000000"/>
          <w:sz w:val="24"/>
          <w:szCs w:val="24"/>
        </w:rPr>
        <w:t xml:space="preserve">а в течение 15 (пятнадцати) дней со дня истечения гарантийного срока, при условии оплаты </w:t>
      </w:r>
      <w:r>
        <w:rPr>
          <w:sz w:val="24"/>
          <w:szCs w:val="24"/>
        </w:rPr>
        <w:t>Подрядчик</w:t>
      </w:r>
      <w:r>
        <w:rPr>
          <w:color w:val="000000"/>
          <w:sz w:val="24"/>
          <w:szCs w:val="24"/>
        </w:rPr>
        <w:t xml:space="preserve">ом выставленных штрафов (пеней, неустоек),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w:t>
      </w:r>
      <w:r>
        <w:rPr>
          <w:color w:val="000000"/>
          <w:sz w:val="24"/>
          <w:szCs w:val="24"/>
        </w:rPr>
        <w:t xml:space="preserve">ом своих гарантийных обязательств по Контракту, в случае их наличия. При этом указанные денежные средства будут возвращены на расчётный счёт </w:t>
      </w:r>
      <w:r>
        <w:rPr>
          <w:sz w:val="24"/>
          <w:szCs w:val="24"/>
        </w:rPr>
        <w:t>Подрядчик</w:t>
      </w:r>
      <w:r>
        <w:rPr>
          <w:color w:val="000000"/>
          <w:sz w:val="24"/>
          <w:szCs w:val="24"/>
        </w:rPr>
        <w:t xml:space="preserve">а, указанный </w:t>
      </w:r>
      <w:r>
        <w:rPr>
          <w:sz w:val="24"/>
          <w:szCs w:val="24"/>
        </w:rPr>
        <w:t>Подрядчик</w:t>
      </w:r>
      <w:r>
        <w:rPr>
          <w:color w:val="000000"/>
          <w:sz w:val="24"/>
          <w:szCs w:val="24"/>
        </w:rPr>
        <w:t xml:space="preserve">ом в заявлении, в случае получения </w:t>
      </w:r>
      <w:r>
        <w:rPr>
          <w:sz w:val="24"/>
          <w:szCs w:val="24"/>
        </w:rPr>
        <w:t>Заказчиком</w:t>
      </w:r>
      <w:r>
        <w:rPr>
          <w:color w:val="000000"/>
          <w:sz w:val="24"/>
          <w:szCs w:val="24"/>
        </w:rPr>
        <w:t xml:space="preserve"> указанного заявления в течение 5 (пяти) рабочих дней со дня истечения гарантийного срока, в иных случаях обеспечение гарантийных обязательств будет возвращено на расчётный счёт, указанный в Контракте.</w:t>
      </w:r>
    </w:p>
    <w:p>
      <w:pPr>
        <w:pStyle w:val="Normal"/>
        <w:ind w:firstLine="567"/>
        <w:jc w:val="both"/>
        <w:rPr>
          <w:color w:val="000000"/>
          <w:sz w:val="24"/>
          <w:szCs w:val="24"/>
        </w:rPr>
      </w:pPr>
      <w:r>
        <w:rPr>
          <w:color w:val="000000"/>
          <w:sz w:val="24"/>
          <w:szCs w:val="24"/>
        </w:rPr>
        <w:t xml:space="preserve">8.6.6. Обязательства </w:t>
      </w:r>
      <w:r>
        <w:rPr>
          <w:sz w:val="24"/>
          <w:szCs w:val="24"/>
        </w:rPr>
        <w:t>Подрядчик</w:t>
      </w:r>
      <w:r>
        <w:rPr>
          <w:rFonts w:eastAsia="Calibri"/>
          <w:sz w:val="24"/>
          <w:szCs w:val="24"/>
        </w:rPr>
        <w:t>а</w:t>
      </w:r>
      <w:r>
        <w:rPr>
          <w:color w:val="000000"/>
          <w:sz w:val="24"/>
          <w:szCs w:val="24"/>
        </w:rPr>
        <w:t xml:space="preserve">, надлежащее исполнение которых включено в обеспечение гарантийных обязательств </w:t>
      </w:r>
      <w:r>
        <w:rPr>
          <w:rFonts w:eastAsia="Calibri"/>
          <w:sz w:val="24"/>
          <w:szCs w:val="24"/>
        </w:rPr>
        <w:t>Контракт</w:t>
      </w:r>
      <w:r>
        <w:rPr>
          <w:color w:val="000000"/>
          <w:sz w:val="24"/>
          <w:szCs w:val="24"/>
        </w:rPr>
        <w:t>а:</w:t>
      </w:r>
    </w:p>
    <w:p>
      <w:pPr>
        <w:pStyle w:val="Normal"/>
        <w:jc w:val="both"/>
        <w:rPr>
          <w:color w:val="000000"/>
          <w:sz w:val="24"/>
          <w:szCs w:val="24"/>
        </w:rPr>
      </w:pPr>
      <w:r>
        <w:rPr>
          <w:color w:val="000000"/>
          <w:sz w:val="24"/>
          <w:szCs w:val="24"/>
        </w:rPr>
        <w:t>- качество выполненных работ и результат их выполнения, а также материалы, использованные при выполнении работ в течение гарантийного срока:</w:t>
      </w:r>
    </w:p>
    <w:p>
      <w:pPr>
        <w:pStyle w:val="Normal"/>
        <w:jc w:val="both"/>
        <w:rPr>
          <w:color w:val="000000"/>
          <w:sz w:val="24"/>
          <w:szCs w:val="24"/>
        </w:rPr>
      </w:pPr>
      <w:r>
        <w:rPr>
          <w:color w:val="000000"/>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со дня подписания а</w:t>
      </w:r>
      <w:r>
        <w:rPr>
          <w:sz w:val="24"/>
          <w:szCs w:val="24"/>
        </w:rPr>
        <w:t>кта приемки законченных работ</w:t>
      </w:r>
      <w:r>
        <w:rPr>
          <w:color w:val="000000"/>
          <w:sz w:val="24"/>
          <w:szCs w:val="24"/>
        </w:rPr>
        <w:t xml:space="preserve">. Гарантия качества распространяется на все конструктивные элементы и работы, выполненные Подрядчиком по Контракту; </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 </w:t>
      </w:r>
      <w:r>
        <w:rPr>
          <w:color w:val="000000"/>
          <w:sz w:val="24"/>
          <w:szCs w:val="24"/>
        </w:rPr>
        <w:t>- устранение дефектов и недостатков в случае их возникновения за свой счет в срок, не превышающий 10 (десяти) дней со дня получения от Заказчика уведомления о выявлении таких дефектов и(или) недостатков.</w:t>
      </w:r>
    </w:p>
    <w:p>
      <w:pPr>
        <w:pStyle w:val="Normal"/>
        <w:tabs>
          <w:tab w:val="left" w:pos="0" w:leader="none"/>
        </w:tabs>
        <w:ind w:firstLine="567"/>
        <w:jc w:val="both"/>
        <w:rPr>
          <w:color w:val="000000"/>
          <w:sz w:val="24"/>
          <w:szCs w:val="24"/>
        </w:rPr>
      </w:pPr>
      <w:r>
        <w:rPr>
          <w:color w:val="000000"/>
          <w:sz w:val="24"/>
          <w:szCs w:val="24"/>
        </w:rPr>
        <w:t xml:space="preserve">Обеспечение гарантийных обязательств распространяется на обязательства по уплате неустоек (штрафов, пени), предусмотренных </w:t>
      </w:r>
      <w:r>
        <w:rPr>
          <w:rFonts w:eastAsia="Calibri"/>
          <w:sz w:val="24"/>
          <w:szCs w:val="24"/>
        </w:rPr>
        <w:t>Контракт</w:t>
      </w:r>
      <w:r>
        <w:rPr>
          <w:color w:val="000000"/>
          <w:sz w:val="24"/>
          <w:szCs w:val="24"/>
        </w:rPr>
        <w:t xml:space="preserve">ом,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Подрядчиком</w:t>
      </w:r>
      <w:r>
        <w:rPr>
          <w:color w:val="000000"/>
          <w:sz w:val="24"/>
          <w:szCs w:val="24"/>
        </w:rPr>
        <w:t xml:space="preserve"> своих гарантийных обязательств по </w:t>
      </w:r>
      <w:r>
        <w:rPr>
          <w:rFonts w:eastAsia="Calibri"/>
          <w:sz w:val="24"/>
          <w:szCs w:val="24"/>
        </w:rPr>
        <w:t>Контракт</w:t>
      </w:r>
      <w:r>
        <w:rPr>
          <w:color w:val="000000"/>
          <w:sz w:val="24"/>
          <w:szCs w:val="24"/>
        </w:rPr>
        <w:t>у.</w:t>
      </w:r>
    </w:p>
    <w:p>
      <w:pPr>
        <w:pStyle w:val="Normal"/>
        <w:tabs>
          <w:tab w:val="left" w:pos="426" w:leader="none"/>
        </w:tabs>
        <w:ind w:firstLine="567"/>
        <w:jc w:val="both"/>
        <w:rPr>
          <w:sz w:val="24"/>
          <w:szCs w:val="24"/>
        </w:rPr>
      </w:pPr>
      <w:r>
        <w:rPr>
          <w:sz w:val="24"/>
          <w:szCs w:val="24"/>
        </w:rPr>
        <w:t xml:space="preserve">8.7. Обеспечение гарантийных обязательств по настоящему </w:t>
      </w:r>
      <w:r>
        <w:rPr>
          <w:rFonts w:eastAsia="Calibri"/>
          <w:sz w:val="24"/>
          <w:szCs w:val="24"/>
        </w:rPr>
        <w:t>Контракт</w:t>
      </w:r>
      <w:r>
        <w:rPr>
          <w:sz w:val="24"/>
          <w:szCs w:val="24"/>
        </w:rPr>
        <w:t xml:space="preserve">у предоставляется Подрядчиком Заказчику не позднее направления </w:t>
      </w:r>
      <w:r>
        <w:rPr>
          <w:kern w:val="2"/>
          <w:sz w:val="24"/>
          <w:szCs w:val="24"/>
        </w:rPr>
        <w:t>документа,</w:t>
      </w:r>
      <w:r>
        <w:rPr>
          <w:sz w:val="24"/>
          <w:szCs w:val="24"/>
        </w:rPr>
        <w:t xml:space="preserve"> указанного в пункте 6.10 настоящего </w:t>
      </w:r>
      <w:r>
        <w:rPr>
          <w:rFonts w:eastAsia="Calibri"/>
          <w:sz w:val="24"/>
          <w:szCs w:val="24"/>
        </w:rPr>
        <w:t>Контракт</w:t>
      </w:r>
      <w:r>
        <w:rPr>
          <w:sz w:val="24"/>
          <w:szCs w:val="24"/>
        </w:rPr>
        <w:t>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8.8. </w:t>
      </w:r>
      <w:r>
        <w:rPr>
          <w:sz w:val="24"/>
          <w:szCs w:val="24"/>
        </w:rPr>
        <w:t>Подрядчик</w:t>
      </w:r>
      <w:r>
        <w:rPr>
          <w:color w:val="000000"/>
          <w:sz w:val="24"/>
          <w:szCs w:val="24"/>
        </w:rPr>
        <w:t xml:space="preserve"> вправе изменить способ обеспечения гарантийных обязательств и (или) предоставить </w:t>
      </w:r>
      <w:r>
        <w:rPr>
          <w:sz w:val="24"/>
          <w:szCs w:val="24"/>
        </w:rPr>
        <w:t>Заказчику</w:t>
      </w:r>
      <w:r>
        <w:rPr>
          <w:color w:val="000000"/>
          <w:sz w:val="24"/>
          <w:szCs w:val="24"/>
        </w:rPr>
        <w:t xml:space="preserve"> взамен ранее предоставленного обеспечения гарантийных обязательств новое обеспечение гарантийных обязательств.</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ind w:firstLine="709"/>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numPr>
          <w:ilvl w:val="0"/>
          <w:numId w:val="0"/>
        </w:numPr>
        <w:ind w:firstLine="709"/>
        <w:jc w:val="both"/>
        <w:outlineLvl w:val="2"/>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ind w:firstLine="709"/>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tabs>
          <w:tab w:val="left" w:pos="1243" w:leader="none"/>
        </w:tabs>
        <w:ind w:firstLine="709"/>
        <w:jc w:val="both"/>
        <w:rPr>
          <w:sz w:val="24"/>
          <w:szCs w:val="24"/>
        </w:rPr>
      </w:pPr>
      <w:r>
        <w:rPr>
          <w:sz w:val="24"/>
          <w:szCs w:val="24"/>
        </w:rPr>
        <w:t>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tabs>
          <w:tab w:val="left" w:pos="1243" w:leader="none"/>
        </w:tabs>
        <w:ind w:firstLine="709"/>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ind w:firstLine="709"/>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сметной документации, строительным нормам и правилам, государственным стандартам и другим нормативно-техническим актам.</w:t>
      </w:r>
    </w:p>
    <w:p>
      <w:pPr>
        <w:pStyle w:val="Normal"/>
        <w:widowControl w:val="false"/>
        <w:ind w:firstLine="709"/>
        <w:rPr>
          <w:b/>
          <w:b/>
          <w:sz w:val="24"/>
          <w:szCs w:val="24"/>
        </w:rPr>
      </w:pPr>
      <w:r>
        <w:rPr>
          <w:b/>
          <w:sz w:val="24"/>
          <w:szCs w:val="24"/>
        </w:rPr>
      </w:r>
    </w:p>
    <w:p>
      <w:pPr>
        <w:pStyle w:val="Normal"/>
        <w:keepNext w:val="true"/>
        <w:widowControl w:val="false"/>
        <w:jc w:val="center"/>
        <w:rPr>
          <w:b/>
          <w:b/>
          <w:sz w:val="24"/>
          <w:szCs w:val="24"/>
        </w:rPr>
      </w:pPr>
      <w:r>
        <w:rPr>
          <w:b/>
          <w:sz w:val="24"/>
          <w:szCs w:val="24"/>
        </w:rPr>
        <w:t>10. ОХРАННЫЕ МЕРОПРИЯТИЯ</w:t>
      </w:r>
    </w:p>
    <w:p>
      <w:pPr>
        <w:pStyle w:val="Normal"/>
        <w:widowControl w:val="false"/>
        <w:ind w:firstLine="709"/>
        <w:jc w:val="both"/>
        <w:rPr>
          <w:b/>
          <w:b/>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jc w:val="center"/>
        <w:rPr>
          <w:b/>
          <w:b/>
          <w:sz w:val="24"/>
          <w:szCs w:val="24"/>
        </w:rPr>
      </w:pPr>
      <w:r>
        <w:rPr>
          <w:b/>
          <w:sz w:val="24"/>
          <w:szCs w:val="24"/>
        </w:rPr>
        <w:t>11. ОТВЕТСТВЕННОСТЬ СТОРОН</w:t>
      </w:r>
    </w:p>
    <w:p>
      <w:pPr>
        <w:pStyle w:val="Normal"/>
        <w:widowControl w:val="false"/>
        <w:ind w:firstLine="709"/>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ind w:firstLine="709"/>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ind w:firstLine="709"/>
        <w:jc w:val="both"/>
        <w:rPr>
          <w:sz w:val="24"/>
          <w:szCs w:val="24"/>
        </w:rPr>
      </w:pPr>
      <w:r>
        <w:rPr>
          <w:sz w:val="24"/>
          <w:szCs w:val="24"/>
        </w:rPr>
        <w:t>11.2.1. начала и окончания выполнения работ согласно п. 5.1 Контракта</w:t>
      </w:r>
    </w:p>
    <w:p>
      <w:pPr>
        <w:pStyle w:val="Normal"/>
        <w:widowControl w:val="false"/>
        <w:ind w:firstLine="709"/>
        <w:jc w:val="both"/>
        <w:rPr>
          <w:sz w:val="24"/>
          <w:szCs w:val="24"/>
        </w:rPr>
      </w:pPr>
      <w:r>
        <w:rPr>
          <w:sz w:val="24"/>
          <w:szCs w:val="24"/>
        </w:rPr>
        <w:t>11.2.2. выполнения отдельных видов работ, указанных в Календарном графике производства работ (Приложение № 2 к Контракту);</w:t>
      </w:r>
    </w:p>
    <w:p>
      <w:pPr>
        <w:pStyle w:val="Normal"/>
        <w:widowControl w:val="false"/>
        <w:ind w:firstLine="709"/>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ind w:firstLine="709"/>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8.3 Контракта;</w:t>
      </w:r>
    </w:p>
    <w:p>
      <w:pPr>
        <w:pStyle w:val="Normal"/>
        <w:widowControl w:val="false"/>
        <w:ind w:firstLine="709"/>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ind w:firstLine="709"/>
        <w:jc w:val="both"/>
        <w:rPr>
          <w:sz w:val="24"/>
          <w:szCs w:val="24"/>
          <w:lang w:eastAsia="en-US"/>
        </w:rPr>
      </w:pPr>
      <w:r>
        <w:rPr>
          <w:kern w:val="2"/>
          <w:sz w:val="24"/>
          <w:szCs w:val="24"/>
          <w:lang w:eastAsia="hi-IN" w:bidi="hi-IN"/>
        </w:rPr>
        <w:t>11.3. Неустойка (п</w:t>
      </w:r>
      <w:r>
        <w:rPr>
          <w:rFonts w:eastAsia="Calibri"/>
          <w:kern w:val="2"/>
          <w:sz w:val="24"/>
          <w:szCs w:val="24"/>
          <w:lang w:eastAsia="en-US" w:bidi="hi-IN"/>
        </w:rPr>
        <w:t xml:space="preserve">еня) за просрочку исполнения обязательств, указанных в п. п. 11.2.1 – 11.2.5 </w:t>
      </w:r>
      <w:r>
        <w:rPr>
          <w:sz w:val="24"/>
          <w:szCs w:val="24"/>
          <w:lang w:eastAsia="en-US"/>
        </w:rPr>
        <w:t>Контракта начисляется за каждый день просрочки исполнения Подрядчиком соответствующего обязательства</w:t>
      </w:r>
      <w:r>
        <w:rPr>
          <w:rFonts w:eastAsia="Calibri"/>
          <w:sz w:val="24"/>
          <w:szCs w:val="24"/>
          <w:lang w:eastAsia="en-US"/>
        </w:rPr>
        <w:t xml:space="preserve">, предусмотренного Контрактом, в размере одной трехсотой действующей на дату уплаты пени </w:t>
      </w:r>
      <w:r>
        <w:rPr>
          <w:rFonts w:eastAsia="Calibri"/>
          <w:sz w:val="24"/>
          <w:szCs w:val="24"/>
        </w:rPr>
        <w:t xml:space="preserve">ключевой ставки </w:t>
      </w:r>
      <w:r>
        <w:rPr>
          <w:rFonts w:eastAsia="Calibri"/>
          <w:sz w:val="24"/>
          <w:szCs w:val="24"/>
          <w:lang w:eastAsia="en-US"/>
        </w:rPr>
        <w:t xml:space="preserve">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ind w:firstLine="709"/>
        <w:jc w:val="both"/>
        <w:rPr>
          <w:kern w:val="2"/>
          <w:sz w:val="24"/>
          <w:szCs w:val="24"/>
          <w:lang w:eastAsia="hi-IN" w:bidi="hi-IN"/>
        </w:rPr>
      </w:pPr>
      <w:r>
        <w:rPr>
          <w:kern w:val="2"/>
          <w:sz w:val="24"/>
          <w:szCs w:val="24"/>
          <w:lang w:eastAsia="hi-IN" w:bidi="hi-IN"/>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ind w:firstLine="709"/>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numPr>
          <w:ilvl w:val="0"/>
          <w:numId w:val="0"/>
        </w:numPr>
        <w:ind w:firstLine="709"/>
        <w:jc w:val="both"/>
        <w:outlineLvl w:val="2"/>
        <w:rPr>
          <w:sz w:val="24"/>
          <w:szCs w:val="24"/>
        </w:rPr>
      </w:pPr>
      <w:r>
        <w:rPr>
          <w:sz w:val="24"/>
          <w:szCs w:val="24"/>
        </w:rPr>
        <w:t xml:space="preserve">11.4.2. обязательств, предусмотренных п. п. 4.4, 4.5, 4.6, 4.7, 4.8, 4.9, 4.11, 4.12, 4.18, 4.19, 4.21, 4.22, 4.23, 4.24, 4.25 и 9.3 Контракта; </w:t>
      </w:r>
    </w:p>
    <w:p>
      <w:pPr>
        <w:pStyle w:val="Normal"/>
        <w:widowControl w:val="false"/>
        <w:ind w:firstLine="709"/>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ind w:firstLine="709"/>
        <w:jc w:val="both"/>
        <w:rPr>
          <w:sz w:val="24"/>
          <w:szCs w:val="24"/>
        </w:rPr>
      </w:pPr>
      <w:r>
        <w:rPr>
          <w:sz w:val="24"/>
          <w:szCs w:val="24"/>
        </w:rPr>
        <w:t>11.4.4. соблюдения требований, предусмотренных в сметной документации и в обязательных для Сторон строительных нормах и правилах, правилах пожарной безопасности;</w:t>
      </w:r>
    </w:p>
    <w:p>
      <w:pPr>
        <w:pStyle w:val="Normal"/>
        <w:widowControl w:val="false"/>
        <w:tabs>
          <w:tab w:val="left" w:pos="1260" w:leader="none"/>
        </w:tabs>
        <w:ind w:firstLine="709"/>
        <w:jc w:val="both"/>
        <w:rPr>
          <w:sz w:val="24"/>
          <w:szCs w:val="24"/>
          <w:lang w:eastAsia="en-US"/>
        </w:rPr>
      </w:pPr>
      <w:r>
        <w:rPr>
          <w:sz w:val="24"/>
          <w:szCs w:val="24"/>
          <w:lang w:eastAsia="en-US"/>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ind w:firstLine="709"/>
        <w:jc w:val="both"/>
        <w:rPr>
          <w:sz w:val="24"/>
          <w:szCs w:val="24"/>
          <w:lang w:eastAsia="en-US"/>
        </w:rPr>
      </w:pPr>
      <w:r>
        <w:rPr>
          <w:sz w:val="24"/>
          <w:szCs w:val="24"/>
        </w:rPr>
        <w:t xml:space="preserve">11.5. Штраф выплачивается за каждый выявленный факт неисполнения или ненадлежащего исполнения обязательств, </w:t>
      </w:r>
      <w:r>
        <w:rPr>
          <w:sz w:val="24"/>
          <w:szCs w:val="24"/>
          <w:lang w:eastAsia="en-US"/>
        </w:rPr>
        <w:t xml:space="preserve">указанных в п. п. 11.4.1 – 11.4.5 </w:t>
      </w:r>
      <w:r>
        <w:rPr>
          <w:sz w:val="24"/>
          <w:szCs w:val="24"/>
        </w:rPr>
        <w:t>Контракта</w:t>
      </w:r>
      <w:r>
        <w:rPr>
          <w:sz w:val="24"/>
          <w:szCs w:val="24"/>
          <w:lang w:eastAsia="en-US"/>
        </w:rPr>
        <w:t>, в отдельности.</w:t>
      </w:r>
    </w:p>
    <w:p>
      <w:pPr>
        <w:pStyle w:val="Normal"/>
        <w:widowControl w:val="false"/>
        <w:ind w:firstLine="709"/>
        <w:jc w:val="both"/>
        <w:rPr>
          <w:sz w:val="24"/>
          <w:szCs w:val="24"/>
          <w:lang w:eastAsia="en-US"/>
        </w:rPr>
      </w:pPr>
      <w:r>
        <w:rPr>
          <w:sz w:val="24"/>
          <w:szCs w:val="24"/>
          <w:lang w:eastAsia="en-US"/>
        </w:rPr>
        <w:t xml:space="preserve">Размер штрафа устанавливается в виде фиксированной суммы и определяется в порядке, установленном п. п. 11.5.1 – 11.5.3 Контракта. </w:t>
      </w:r>
    </w:p>
    <w:p>
      <w:pPr>
        <w:pStyle w:val="Normal"/>
        <w:jc w:val="both"/>
        <w:rPr>
          <w:rFonts w:eastAsia="Calibri"/>
          <w:sz w:val="24"/>
          <w:szCs w:val="24"/>
        </w:rPr>
      </w:pPr>
      <w:r>
        <w:rPr>
          <w:kern w:val="2"/>
          <w:sz w:val="24"/>
          <w:szCs w:val="24"/>
          <w:lang w:eastAsia="hi-IN" w:bidi="hi-IN"/>
        </w:rPr>
        <w:t xml:space="preserve">11.5.1. В случае неисполнения или ненадлежащего исполнения Подрядчиком обязательств, установленных </w:t>
      </w:r>
      <w:r>
        <w:rPr>
          <w:sz w:val="24"/>
          <w:szCs w:val="24"/>
          <w:lang w:eastAsia="en-US"/>
        </w:rPr>
        <w:t xml:space="preserve">п. п. 11.4.1 – 11.4.5 </w:t>
      </w:r>
      <w:r>
        <w:rPr>
          <w:kern w:val="2"/>
          <w:sz w:val="24"/>
          <w:szCs w:val="24"/>
          <w:lang w:eastAsia="hi-IN" w:bidi="hi-IN"/>
        </w:rPr>
        <w:t xml:space="preserve">Контракта, имеющих стоимостное выражение, размер штрафа составляет: </w:t>
      </w:r>
      <w:r>
        <w:rPr>
          <w:rFonts w:eastAsia="Calibri"/>
          <w:sz w:val="24"/>
          <w:szCs w:val="24"/>
        </w:rPr>
        <w:t>в размере 1 процента цены контракта (этапа), но не более 5 тыс. рублей и не менее 1 тыс.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(одну тысячу) рублей 00 копеек.</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11.5.2. В случае неисполнения или ненадлежащего исполнения Подрядчиком обязательств, установленных </w:t>
      </w:r>
      <w:r>
        <w:rPr>
          <w:sz w:val="24"/>
          <w:szCs w:val="24"/>
        </w:rPr>
        <w:t xml:space="preserve">п. п. 11.4.1 – 11.4.5 </w:t>
      </w:r>
      <w:r>
        <w:rPr>
          <w:kern w:val="2"/>
          <w:sz w:val="24"/>
          <w:szCs w:val="24"/>
          <w:lang w:eastAsia="hi-IN" w:bidi="hi-IN"/>
        </w:rPr>
        <w:t xml:space="preserve">Контракта, не имеющих стоимостного выражения, размер штрафа составляет: </w:t>
      </w:r>
      <w:r>
        <w:rPr>
          <w:b/>
          <w:kern w:val="2"/>
          <w:sz w:val="24"/>
          <w:szCs w:val="24"/>
          <w:u w:val="single"/>
          <w:lang w:eastAsia="hi-IN" w:bidi="hi-IN"/>
        </w:rPr>
        <w:t>1 000 (одну тысячу) рублей 00 копеек.</w:t>
      </w:r>
    </w:p>
    <w:p>
      <w:pPr>
        <w:pStyle w:val="Normal"/>
        <w:widowControl w:val="false"/>
        <w:ind w:firstLine="709"/>
        <w:jc w:val="both"/>
        <w:rPr>
          <w:rFonts w:eastAsia="Calibri"/>
          <w:sz w:val="24"/>
          <w:szCs w:val="24"/>
        </w:rPr>
      </w:pPr>
      <w:r>
        <w:rPr>
          <w:rFonts w:eastAsia="Calibri"/>
          <w:sz w:val="24"/>
          <w:szCs w:val="24"/>
        </w:rPr>
        <w:t>а) 1 000 рублей, если цена Контракта не превышает 3 млн. рублей;</w:t>
      </w:r>
    </w:p>
    <w:p>
      <w:pPr>
        <w:pStyle w:val="Normal"/>
        <w:widowControl w:val="false"/>
        <w:ind w:firstLine="709"/>
        <w:jc w:val="both"/>
        <w:rPr>
          <w:rFonts w:eastAsia="Calibri"/>
          <w:sz w:val="24"/>
          <w:szCs w:val="24"/>
        </w:rPr>
      </w:pPr>
      <w:r>
        <w:rPr>
          <w:rFonts w:eastAsia="Calibri"/>
          <w:sz w:val="24"/>
          <w:szCs w:val="24"/>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rPr>
      </w:pPr>
      <w:r>
        <w:rPr>
          <w:rFonts w:eastAsia="Calibri"/>
          <w:sz w:val="24"/>
          <w:szCs w:val="24"/>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rPr>
      </w:pPr>
      <w:r>
        <w:rPr>
          <w:rFonts w:eastAsia="Calibri"/>
          <w:sz w:val="24"/>
          <w:szCs w:val="24"/>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11.5.3. В случае, если Контракт заключается в соответствии с п. 2.3 Контракта с Подрядчиком, </w:t>
      </w:r>
      <w:r>
        <w:rPr>
          <w:rFonts w:eastAsia="Calibri"/>
          <w:sz w:val="24"/>
          <w:szCs w:val="24"/>
          <w:lang w:eastAsia="en-US"/>
        </w:rPr>
        <w:t xml:space="preserve">предложившим наиболее высокую цену за право заключения Контракта, размер штрафа составляет: </w:t>
      </w:r>
    </w:p>
    <w:p>
      <w:pPr>
        <w:pStyle w:val="Normal"/>
        <w:widowControl w:val="false"/>
        <w:ind w:firstLine="709"/>
        <w:jc w:val="both"/>
        <w:rPr>
          <w:rFonts w:eastAsia="Calibri"/>
          <w:sz w:val="24"/>
          <w:szCs w:val="24"/>
          <w:lang w:eastAsia="en-US"/>
        </w:rPr>
      </w:pPr>
      <w:r>
        <w:rPr>
          <w:rFonts w:eastAsia="Calibri"/>
          <w:sz w:val="24"/>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pPr>
        <w:pStyle w:val="Normal"/>
        <w:widowControl w:val="false"/>
        <w:ind w:firstLine="709"/>
        <w:jc w:val="both"/>
        <w:rPr>
          <w:rFonts w:eastAsia="Calibri"/>
          <w:sz w:val="24"/>
          <w:szCs w:val="24"/>
          <w:lang w:eastAsia="en-US"/>
        </w:rPr>
      </w:pPr>
      <w:r>
        <w:rPr>
          <w:rFonts w:eastAsia="Calibri"/>
          <w:sz w:val="24"/>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pPr>
        <w:pStyle w:val="Normal"/>
        <w:widowControl w:val="false"/>
        <w:ind w:firstLine="709"/>
        <w:jc w:val="both"/>
        <w:rPr>
          <w:rFonts w:eastAsia="Calibri"/>
          <w:b/>
          <w:b/>
          <w:sz w:val="24"/>
          <w:szCs w:val="24"/>
          <w:u w:val="single"/>
          <w:lang w:eastAsia="en-US"/>
        </w:rPr>
      </w:pPr>
      <w:r>
        <w:rPr>
          <w:kern w:val="2"/>
          <w:sz w:val="24"/>
          <w:szCs w:val="24"/>
          <w:lang w:eastAsia="hi-IN" w:bidi="hi-IN"/>
        </w:rPr>
        <w:t xml:space="preserve">И составляет </w:t>
      </w:r>
      <w:r>
        <w:rPr>
          <w:b/>
          <w:kern w:val="2"/>
          <w:sz w:val="24"/>
          <w:szCs w:val="24"/>
          <w:u w:val="single"/>
          <w:lang w:eastAsia="hi-IN" w:bidi="hi-IN"/>
        </w:rPr>
        <w:t>101 231 рубль 20 копеек (сто одна тысяча двести тридцать один рубль двадцать копеек).</w:t>
      </w:r>
    </w:p>
    <w:p>
      <w:pPr>
        <w:pStyle w:val="Normal"/>
        <w:widowControl w:val="false"/>
        <w:ind w:firstLine="709"/>
        <w:jc w:val="both"/>
        <w:rPr>
          <w:rFonts w:eastAsia="Calibri"/>
          <w:sz w:val="24"/>
          <w:szCs w:val="24"/>
          <w:lang w:eastAsia="en-US"/>
        </w:rPr>
      </w:pPr>
      <w:r>
        <w:rPr>
          <w:kern w:val="2"/>
          <w:sz w:val="24"/>
          <w:szCs w:val="24"/>
          <w:lang w:eastAsia="hi-IN" w:bidi="hi-IN"/>
        </w:rPr>
        <w:t xml:space="preserve">11.6. </w:t>
      </w:r>
      <w:r>
        <w:rPr>
          <w:rFonts w:eastAsia="Calibri"/>
          <w:sz w:val="24"/>
          <w:szCs w:val="24"/>
          <w:lang w:eastAsia="en-US"/>
        </w:rPr>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ind w:firstLine="709"/>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ind w:firstLine="709"/>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ind w:firstLine="709"/>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w:t>
      </w:r>
      <w:r>
        <w:rPr>
          <w:b/>
          <w:sz w:val="24"/>
          <w:szCs w:val="24"/>
        </w:rPr>
        <w:t>10</w:t>
      </w:r>
      <w:r>
        <w:rPr>
          <w:sz w:val="24"/>
          <w:szCs w:val="24"/>
        </w:rPr>
        <w:t xml:space="preserve">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numPr>
          <w:ilvl w:val="0"/>
          <w:numId w:val="0"/>
        </w:numPr>
        <w:ind w:firstLine="709"/>
        <w:jc w:val="both"/>
        <w:outlineLvl w:val="2"/>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sz w:val="24"/>
          <w:szCs w:val="24"/>
        </w:rPr>
      </w:pPr>
      <w:r>
        <w:rPr>
          <w:sz w:val="24"/>
          <w:szCs w:val="24"/>
        </w:rPr>
        <w:t xml:space="preserve">11.9. В случае применения административными органами имущественных санкций к Заказчику, если они явились результатом нарушения </w:t>
      </w:r>
      <w:r>
        <w:rPr>
          <w:bCs/>
          <w:sz w:val="24"/>
          <w:szCs w:val="24"/>
        </w:rPr>
        <w:t>Подрядчиком</w:t>
      </w:r>
      <w:r>
        <w:rPr>
          <w:sz w:val="24"/>
          <w:szCs w:val="24"/>
        </w:rPr>
        <w:t xml:space="preserve"> своих обязанностей или совершения </w:t>
      </w:r>
      <w:r>
        <w:rPr>
          <w:bCs/>
          <w:sz w:val="24"/>
          <w:szCs w:val="24"/>
        </w:rPr>
        <w:t>Подрядчиком</w:t>
      </w:r>
      <w:r>
        <w:rPr>
          <w:sz w:val="24"/>
          <w:szCs w:val="24"/>
        </w:rPr>
        <w:t xml:space="preserve"> иных действий, влекущих применение к Заказчику имущественных санкций, </w:t>
      </w:r>
      <w:r>
        <w:rPr>
          <w:bCs/>
          <w:sz w:val="24"/>
          <w:szCs w:val="24"/>
        </w:rPr>
        <w:t>Подрядчик</w:t>
      </w:r>
      <w:r>
        <w:rPr>
          <w:sz w:val="24"/>
          <w:szCs w:val="24"/>
        </w:rPr>
        <w:t xml:space="preserve"> компенсирует Заказчику убытки в размере взысканных санкций.</w:t>
      </w:r>
    </w:p>
    <w:p>
      <w:pPr>
        <w:pStyle w:val="Normal"/>
        <w:widowControl w:val="false"/>
        <w:ind w:firstLine="709"/>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ind w:firstLine="709"/>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ind w:firstLine="709"/>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w:t>
      </w:r>
      <w:r>
        <w:rPr>
          <w:rFonts w:eastAsia="Calibri"/>
          <w:sz w:val="24"/>
          <w:szCs w:val="24"/>
          <w:lang w:eastAsia="en-US"/>
        </w:rPr>
        <w:t xml:space="preserve">пени </w:t>
      </w:r>
      <w:r>
        <w:rPr>
          <w:rFonts w:eastAsia="Calibri"/>
          <w:sz w:val="24"/>
          <w:szCs w:val="24"/>
        </w:rPr>
        <w:t xml:space="preserve">ключевой ставки </w:t>
      </w:r>
      <w:r>
        <w:rPr>
          <w:sz w:val="24"/>
          <w:szCs w:val="24"/>
        </w:rPr>
        <w:t xml:space="preserve">Центрального банка Российской Федерации от не уплаченной в срок суммы.Пеня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rFonts w:eastAsia="Calibri"/>
          <w:sz w:val="24"/>
          <w:szCs w:val="24"/>
          <w:lang w:eastAsia="en-US"/>
        </w:rPr>
      </w:pPr>
      <w:r>
        <w:rPr>
          <w:kern w:val="2"/>
          <w:sz w:val="24"/>
          <w:szCs w:val="24"/>
          <w:lang w:eastAsia="hi-IN" w:bidi="hi-IN"/>
        </w:rPr>
        <w:t xml:space="preserve">11.13. Заказчик уплачивает Подрядчику </w:t>
      </w:r>
      <w:r>
        <w:rPr>
          <w:sz w:val="24"/>
          <w:szCs w:val="24"/>
        </w:rPr>
        <w:t>штраф</w:t>
      </w:r>
      <w:r>
        <w:rPr>
          <w:kern w:val="2"/>
          <w:sz w:val="24"/>
          <w:szCs w:val="24"/>
          <w:lang w:eastAsia="hi-IN" w:bidi="hi-IN"/>
        </w:rPr>
        <w:t xml:space="preserve"> в случае неисполнения Заказчиком обязательства</w:t>
      </w:r>
      <w:r>
        <w:rPr>
          <w:sz w:val="24"/>
          <w:szCs w:val="24"/>
        </w:rPr>
        <w:t>, предусмотренного п. 3.1.1 Контракта.</w:t>
      </w:r>
    </w:p>
    <w:p>
      <w:pPr>
        <w:pStyle w:val="Normal"/>
        <w:widowControl w:val="false"/>
        <w:ind w:firstLine="709"/>
        <w:jc w:val="both"/>
        <w:rPr>
          <w:sz w:val="24"/>
          <w:szCs w:val="24"/>
          <w:highlight w:val="yellow"/>
        </w:rPr>
      </w:pPr>
      <w:r>
        <w:rPr>
          <w:sz w:val="24"/>
          <w:szCs w:val="24"/>
        </w:rPr>
        <w:t xml:space="preserve">Размер штрафа устанавливается в виде фиксированной суммы, определяемой в следующем порядке: </w:t>
      </w:r>
      <w:r>
        <w:rPr>
          <w:b/>
          <w:kern w:val="2"/>
          <w:sz w:val="24"/>
          <w:szCs w:val="24"/>
          <w:u w:val="single"/>
          <w:lang w:eastAsia="hi-IN" w:bidi="hi-IN"/>
        </w:rPr>
        <w:t>1 000 (одну тысячу) рублей 00 копеек.</w:t>
      </w:r>
    </w:p>
    <w:p>
      <w:pPr>
        <w:pStyle w:val="Normal"/>
        <w:widowControl w:val="false"/>
        <w:ind w:firstLine="709"/>
        <w:jc w:val="both"/>
        <w:rPr>
          <w:rFonts w:eastAsia="Calibri"/>
          <w:sz w:val="24"/>
          <w:szCs w:val="24"/>
          <w:lang w:eastAsia="en-US"/>
        </w:rPr>
      </w:pPr>
      <w:r>
        <w:rPr>
          <w:rFonts w:eastAsia="Calibri"/>
          <w:sz w:val="24"/>
          <w:szCs w:val="24"/>
          <w:lang w:eastAsia="en-US"/>
        </w:rPr>
        <w:t>а) 1 000 рублей, если цена Контракта не превышает 3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г) 100 000 рублей, если цена Контракта превышает 100 млн. рублей.</w:t>
      </w:r>
    </w:p>
    <w:p>
      <w:pPr>
        <w:pStyle w:val="Normal"/>
        <w:widowControl w:val="false"/>
        <w:ind w:firstLine="709"/>
        <w:jc w:val="both"/>
        <w:rPr>
          <w:rFonts w:eastAsia="Calibri"/>
          <w:sz w:val="24"/>
          <w:szCs w:val="24"/>
          <w:lang w:eastAsia="en-US"/>
        </w:rPr>
      </w:pPr>
      <w:r>
        <w:rPr>
          <w:kern w:val="2"/>
          <w:sz w:val="24"/>
          <w:szCs w:val="24"/>
          <w:lang w:eastAsia="hi-IN" w:bidi="hi-IN"/>
        </w:rPr>
        <w:t xml:space="preserve">11.14. </w:t>
      </w:r>
      <w:r>
        <w:rPr>
          <w:rFonts w:eastAsia="Calibri"/>
          <w:sz w:val="24"/>
          <w:szCs w:val="24"/>
          <w:lang w:eastAsia="en-US"/>
        </w:rPr>
        <w:t xml:space="preserve">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 </w:t>
      </w:r>
    </w:p>
    <w:p>
      <w:pPr>
        <w:pStyle w:val="Normal"/>
        <w:widowControl w:val="false"/>
        <w:ind w:firstLine="709"/>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ind w:firstLine="709"/>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ind w:firstLine="709"/>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ind w:firstLine="709"/>
        <w:rPr>
          <w:b/>
          <w:b/>
          <w:bCs/>
          <w:sz w:val="24"/>
          <w:szCs w:val="24"/>
        </w:rPr>
      </w:pPr>
      <w:r>
        <w:rPr>
          <w:b/>
          <w:bCs/>
          <w:sz w:val="24"/>
          <w:szCs w:val="24"/>
        </w:rPr>
      </w:r>
    </w:p>
    <w:p>
      <w:pPr>
        <w:pStyle w:val="Normal"/>
        <w:widowControl w:val="false"/>
        <w:jc w:val="center"/>
        <w:rPr>
          <w:b/>
          <w:b/>
          <w:bCs/>
          <w:sz w:val="24"/>
          <w:szCs w:val="24"/>
        </w:rPr>
      </w:pPr>
      <w:r>
        <w:rPr>
          <w:b/>
          <w:bCs/>
          <w:sz w:val="24"/>
          <w:szCs w:val="24"/>
        </w:rPr>
        <w:t>12. СРОК ДЕЙСТВИЯ, ПОРЯДОК ИЗМЕНЕНИЯ И РАСТОРЖЕНИЯ КОНТРАКТА</w:t>
      </w:r>
    </w:p>
    <w:p>
      <w:pPr>
        <w:pStyle w:val="Normal"/>
        <w:widowControl w:val="false"/>
        <w:numPr>
          <w:ilvl w:val="0"/>
          <w:numId w:val="0"/>
        </w:numPr>
        <w:ind w:firstLine="709"/>
        <w:jc w:val="both"/>
        <w:outlineLvl w:val="1"/>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по </w:t>
      </w:r>
      <w:r>
        <w:rPr>
          <w:b/>
          <w:sz w:val="24"/>
          <w:szCs w:val="24"/>
          <w:u w:val="single"/>
        </w:rPr>
        <w:t xml:space="preserve">10 августа 2020 года (включительно) </w:t>
      </w:r>
      <w:r>
        <w:rPr>
          <w:sz w:val="24"/>
          <w:szCs w:val="24"/>
        </w:rPr>
        <w:t>или до полного исполнения Сторонами своих обязательств по Контракту, а в части гарантийных обязательств до полного истечения срока гарантии качества результата работ.</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ind w:firstLine="709"/>
        <w:jc w:val="both"/>
        <w:rPr>
          <w:sz w:val="24"/>
          <w:szCs w:val="24"/>
        </w:rPr>
      </w:pPr>
      <w:r>
        <w:rPr>
          <w:sz w:val="24"/>
          <w:szCs w:val="24"/>
        </w:rPr>
        <w:t>12.3. Расторжение Контракта допускается:</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по соглашению Сторон,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по решению суда,</w:t>
      </w:r>
    </w:p>
    <w:p>
      <w:pPr>
        <w:pStyle w:val="Normal"/>
        <w:widowControl w:val="false"/>
        <w:ind w:firstLine="709"/>
        <w:jc w:val="both"/>
        <w:rPr>
          <w:sz w:val="24"/>
          <w:szCs w:val="24"/>
        </w:rPr>
      </w:pPr>
      <w:r>
        <w:rPr>
          <w:sz w:val="24"/>
          <w:szCs w:val="24"/>
        </w:rPr>
        <w:t xml:space="preserve">– </w:t>
      </w:r>
      <w:r>
        <w:rPr>
          <w:sz w:val="24"/>
          <w:szCs w:val="24"/>
        </w:rPr>
        <w:t>в случае одностороннего отказа Стороны Контракта от исполнения Контракта в соответствии с гражданским законодательством Российской Федерации и в порядке, установленном Законом № 44-ФЗ, по основаниям, предусмотренным Гражданским кодексом РФ и Законом № 44-ФЗ для одностороннего отказа от исполнения отдельных видов обязательств, а также по основаниям, предусмотренным п. 12.5 Контракта.</w:t>
      </w:r>
    </w:p>
    <w:p>
      <w:pPr>
        <w:pStyle w:val="Normal"/>
        <w:widowControl w:val="false"/>
        <w:ind w:firstLine="709"/>
        <w:jc w:val="both"/>
        <w:rPr>
          <w:b/>
          <w:b/>
          <w:sz w:val="24"/>
          <w:szCs w:val="24"/>
        </w:rPr>
      </w:pPr>
      <w:r>
        <w:rPr>
          <w:sz w:val="24"/>
          <w:szCs w:val="24"/>
        </w:rPr>
        <w:t>12.4.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ind w:firstLine="709"/>
        <w:jc w:val="both"/>
        <w:rPr>
          <w:kern w:val="2"/>
          <w:sz w:val="24"/>
          <w:szCs w:val="24"/>
          <w:lang w:eastAsia="hi-IN" w:bidi="hi-IN"/>
        </w:rPr>
      </w:pPr>
      <w:r>
        <w:rPr>
          <w:kern w:val="2"/>
          <w:sz w:val="24"/>
          <w:szCs w:val="24"/>
          <w:lang w:eastAsia="hi-IN" w:bidi="hi-IN"/>
        </w:rPr>
        <w:t>12.5. Заказчик имеет право расторгнуть Контракт в одностороннем порядке, либо в соответствии со ст. 450 Гражданского кодекса РФ по решению суда Контракт может быть расторгнут по требованию Заказчика в случае:</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отказа Подрядчика от изменения условий Контракта в порядке, предусмотренном п. 2.2.6 Контракта, а также неполучения ответа Подрядчика на предложение об изменении условий Контракта в течение </w:t>
      </w:r>
      <w:r>
        <w:rPr>
          <w:b/>
          <w:sz w:val="24"/>
          <w:szCs w:val="24"/>
        </w:rPr>
        <w:t>2</w:t>
      </w:r>
      <w:r>
        <w:rPr>
          <w:sz w:val="24"/>
          <w:szCs w:val="24"/>
        </w:rPr>
        <w:t xml:space="preserve"> (двух) недель;</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задержки Подрядчиком начала выполнения работ более чем на </w:t>
      </w:r>
      <w:r>
        <w:rPr>
          <w:b/>
          <w:sz w:val="24"/>
          <w:szCs w:val="24"/>
        </w:rPr>
        <w:t xml:space="preserve">10 </w:t>
      </w:r>
      <w:r>
        <w:rPr>
          <w:sz w:val="24"/>
          <w:szCs w:val="24"/>
        </w:rPr>
        <w:t>(десять) дней по причинам, не зависящим от Заказчика;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выполнения работ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неоднократной (два и более) просрочки выполнения предписаний контролирующих (надзорных) органов и (или) Заказчика;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срока предоставления Заказчику ППР более чем на </w:t>
      </w:r>
      <w:r>
        <w:rPr>
          <w:b/>
          <w:sz w:val="24"/>
          <w:szCs w:val="24"/>
        </w:rPr>
        <w:t>5</w:t>
      </w:r>
      <w:r>
        <w:rPr>
          <w:sz w:val="24"/>
          <w:szCs w:val="24"/>
        </w:rPr>
        <w:t xml:space="preserve"> (пять) дней;</w:t>
      </w:r>
    </w:p>
    <w:p>
      <w:pPr>
        <w:pStyle w:val="Normal"/>
        <w:widowControl w:val="false"/>
        <w:ind w:firstLine="709"/>
        <w:jc w:val="both"/>
        <w:rPr>
          <w:b/>
          <w:b/>
          <w:bCs/>
          <w:sz w:val="24"/>
          <w:szCs w:val="24"/>
        </w:rPr>
      </w:pPr>
      <w:r>
        <w:rPr>
          <w:rFonts w:eastAsia="Calibri"/>
          <w:sz w:val="24"/>
          <w:szCs w:val="24"/>
          <w:lang w:eastAsia="en-US"/>
        </w:rPr>
        <w:t>–</w:t>
      </w:r>
      <w:r>
        <w:rPr>
          <w:sz w:val="24"/>
          <w:szCs w:val="24"/>
        </w:rPr>
        <w:t xml:space="preserve"> </w:t>
      </w:r>
      <w:r>
        <w:rPr>
          <w:sz w:val="24"/>
          <w:szCs w:val="24"/>
        </w:rPr>
        <w:t xml:space="preserve">неоднократного (два и более) невыполнения требований Заказчика о предоставлении документов, подтверждающих качество </w:t>
      </w:r>
      <w:r>
        <w:rPr>
          <w:bCs/>
          <w:sz w:val="24"/>
          <w:szCs w:val="24"/>
        </w:rPr>
        <w:t>товаров (материалов), используемых при выполнении работ;</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неоднократного (два и более) несоблюдения Подрядчиком требований к качеству работ, выполнения Подрядчиком работ с отступлением от требований сметной документации, а также выполнения дополнительных работ без согласования с Заказчиком в порядке, установленном Контрактом;</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устранения дефектов и недостатков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утраты Подрядчиком в силу закона прав на осуществление деятельности, входящей в предмет Контракта;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приостановления деятельности Подрядчика;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отказа Подрядчика от заключения соглашения о расторжении Контракта в случае и в порядке, предусмотренном п. 12.4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отсутствия надлежащего обеспечения исполнения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нарушение условий выполнения работ, предусмотренных п. п. 4.8, 4.9, 4.11, 4.12 Контракта. </w:t>
      </w:r>
    </w:p>
    <w:p>
      <w:pPr>
        <w:pStyle w:val="Normal"/>
        <w:widowControl w:val="false"/>
        <w:ind w:firstLine="709"/>
        <w:jc w:val="both"/>
        <w:rPr>
          <w:sz w:val="24"/>
          <w:szCs w:val="24"/>
        </w:rPr>
      </w:pPr>
      <w:r>
        <w:rPr>
          <w:sz w:val="24"/>
          <w:szCs w:val="24"/>
        </w:rPr>
        <w:t>Подрядчик должен незамедлительно информировать Заказчика о наступлении тех случаев, предусмотренных настоящим пунктом Контракта, о которых Заказчик знать не может.</w:t>
      </w:r>
    </w:p>
    <w:p>
      <w:pPr>
        <w:pStyle w:val="Normal"/>
        <w:widowControl w:val="false"/>
        <w:ind w:firstLine="709"/>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ind w:firstLine="709"/>
        <w:jc w:val="both"/>
        <w:rPr>
          <w:sz w:val="24"/>
          <w:szCs w:val="24"/>
        </w:rPr>
      </w:pPr>
      <w:r>
        <w:rPr>
          <w:sz w:val="24"/>
          <w:szCs w:val="24"/>
        </w:rPr>
        <w:t>12.7. Расторжение Контракта вступает в силу:</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numPr>
          <w:ilvl w:val="0"/>
          <w:numId w:val="0"/>
        </w:numPr>
        <w:ind w:firstLine="709"/>
        <w:jc w:val="both"/>
        <w:outlineLvl w:val="0"/>
        <w:rPr>
          <w:sz w:val="24"/>
          <w:szCs w:val="24"/>
        </w:rPr>
      </w:pPr>
      <w:r>
        <w:rPr>
          <w:rFonts w:eastAsia="Calibri"/>
          <w:sz w:val="24"/>
          <w:szCs w:val="24"/>
          <w:lang w:eastAsia="en-US"/>
        </w:rPr>
        <w:t>–</w:t>
      </w: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ind w:firstLine="709"/>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ind w:firstLine="709"/>
        <w:jc w:val="both"/>
        <w:rPr>
          <w:sz w:val="24"/>
          <w:szCs w:val="24"/>
        </w:rPr>
      </w:pPr>
      <w:r>
        <w:rPr>
          <w:sz w:val="24"/>
          <w:szCs w:val="24"/>
        </w:rPr>
        <w:t>12.9. Объем выполняемых Подрядчиком работ, предусмотренный Контрактом, может быть изменен</w:t>
      </w:r>
      <w:r>
        <w:rPr>
          <w:bCs/>
          <w:sz w:val="24"/>
          <w:szCs w:val="24"/>
        </w:rPr>
        <w:t xml:space="preserve"> по соглашению Сторон</w:t>
      </w:r>
      <w:r>
        <w:rPr>
          <w:sz w:val="24"/>
          <w:szCs w:val="24"/>
        </w:rPr>
        <w:t xml:space="preserve">, но не более чем на </w:t>
      </w:r>
      <w:r>
        <w:rPr>
          <w:bCs/>
          <w:sz w:val="24"/>
          <w:szCs w:val="24"/>
        </w:rPr>
        <w:t>десять процентов.</w:t>
      </w:r>
    </w:p>
    <w:p>
      <w:pPr>
        <w:pStyle w:val="Normal"/>
        <w:widowControl w:val="false"/>
        <w:ind w:firstLine="709"/>
        <w:jc w:val="both"/>
        <w:rPr>
          <w:bCs/>
          <w:sz w:val="24"/>
          <w:szCs w:val="24"/>
        </w:rPr>
      </w:pPr>
      <w:r>
        <w:rPr>
          <w:bCs/>
          <w:sz w:val="24"/>
          <w:szCs w:val="24"/>
        </w:rPr>
        <w:t xml:space="preserve">При этом по соглашению Сторон допускается изменение с учетом положений бюджетного законодательства </w:t>
      </w:r>
      <w:r>
        <w:rPr>
          <w:sz w:val="24"/>
          <w:szCs w:val="24"/>
        </w:rPr>
        <w:t>Российской Федерации</w:t>
      </w:r>
      <w:r>
        <w:rPr>
          <w:bCs/>
          <w:sz w:val="24"/>
          <w:szCs w:val="24"/>
        </w:rPr>
        <w:t xml:space="preserve"> цены Контракта пропорционально дополнительному объему работ исходя из </w:t>
      </w:r>
      <w:r>
        <w:rPr>
          <w:rFonts w:eastAsia="Calibri"/>
          <w:sz w:val="24"/>
          <w:szCs w:val="24"/>
          <w:lang w:eastAsia="en-US"/>
        </w:rPr>
        <w:t>цены единицы работы</w:t>
      </w:r>
      <w:r>
        <w:rPr>
          <w:bCs/>
          <w:sz w:val="24"/>
          <w:szCs w:val="24"/>
        </w:rPr>
        <w:t>, но не более чем на десять процентов цены Контракта.</w:t>
      </w:r>
    </w:p>
    <w:p>
      <w:pPr>
        <w:pStyle w:val="Normal"/>
        <w:widowControl w:val="false"/>
        <w:ind w:firstLine="709"/>
        <w:jc w:val="both"/>
        <w:rPr>
          <w:bCs/>
          <w:sz w:val="24"/>
          <w:szCs w:val="24"/>
        </w:rPr>
      </w:pPr>
      <w:r>
        <w:rPr>
          <w:bCs/>
          <w:sz w:val="24"/>
          <w:szCs w:val="24"/>
        </w:rPr>
        <w:t xml:space="preserve">При уменьшении предусмотренного Контрактом объема работ цена Контракта подлежит обязательному уменьшению исходя из </w:t>
      </w:r>
      <w:r>
        <w:rPr>
          <w:rFonts w:eastAsia="Calibri"/>
          <w:sz w:val="24"/>
          <w:szCs w:val="24"/>
          <w:lang w:eastAsia="en-US"/>
        </w:rPr>
        <w:t>цены единицы работы и исключенного объема</w:t>
      </w:r>
      <w:r>
        <w:rPr>
          <w:bCs/>
          <w:sz w:val="24"/>
          <w:szCs w:val="24"/>
        </w:rPr>
        <w:t>.</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13. ФОРС-МАЖОРНЫЕ ОБСТОЯТЕЛЬСТВА</w:t>
      </w:r>
    </w:p>
    <w:p>
      <w:pPr>
        <w:pStyle w:val="Normal"/>
        <w:widowControl w:val="false"/>
        <w:ind w:firstLine="709"/>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ind w:firstLine="709"/>
        <w:jc w:val="center"/>
        <w:rPr>
          <w:b/>
          <w:b/>
          <w:sz w:val="24"/>
          <w:szCs w:val="24"/>
        </w:rPr>
      </w:pPr>
      <w:r>
        <w:rPr>
          <w:b/>
          <w:sz w:val="24"/>
          <w:szCs w:val="24"/>
        </w:rPr>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ind w:firstLine="709"/>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ind w:firstLine="709"/>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ind w:firstLine="709"/>
        <w:jc w:val="both"/>
        <w:rPr>
          <w:rFonts w:eastAsia="Calibri"/>
          <w:bCs/>
          <w:sz w:val="24"/>
          <w:szCs w:val="24"/>
          <w:lang w:eastAsia="ar-SA"/>
        </w:rPr>
      </w:pPr>
      <w:r>
        <w:rPr>
          <w:rFonts w:eastAsia="Calibri"/>
          <w:bCs/>
          <w:sz w:val="24"/>
          <w:szCs w:val="24"/>
          <w:lang w:eastAsia="ar-SA"/>
        </w:rPr>
        <w:t>Выбор способа обеспечения исполнения Контракта Подрядчиком осуществляется самостоятельно.</w:t>
      </w:r>
    </w:p>
    <w:p>
      <w:pPr>
        <w:pStyle w:val="Normal"/>
        <w:widowControl w:val="false"/>
        <w:ind w:firstLine="709"/>
        <w:jc w:val="both"/>
        <w:rPr>
          <w:rFonts w:eastAsia="Calibri"/>
          <w:bCs/>
          <w:sz w:val="24"/>
          <w:szCs w:val="24"/>
          <w:lang w:eastAsia="ar-SA"/>
        </w:rPr>
      </w:pPr>
      <w:r>
        <w:rPr>
          <w:rFonts w:eastAsia="Calibri"/>
          <w:sz w:val="24"/>
          <w:szCs w:val="24"/>
          <w:lang w:eastAsia="en-US"/>
        </w:rPr>
        <w:t xml:space="preserve">Сумма обеспечения исполнения обязательств по Контракту установлена в размере 30 % от цены Контракта, указанной в п.2.1. Контракта и составляет </w:t>
      </w:r>
      <w:r>
        <w:rPr>
          <w:rFonts w:eastAsia="Calibri"/>
          <w:b/>
          <w:sz w:val="24"/>
          <w:szCs w:val="24"/>
          <w:u w:val="single"/>
          <w:lang w:eastAsia="en-US"/>
        </w:rPr>
        <w:t>285 471 рубль 98 копеек (двести восемьдесят пять тысяч четыреста семьдесят один рубль девяносто восемь копеек)</w:t>
      </w:r>
      <w:r>
        <w:rPr>
          <w:rFonts w:eastAsia="Calibri"/>
          <w:sz w:val="24"/>
          <w:szCs w:val="24"/>
          <w:lang w:eastAsia="en-US"/>
        </w:rPr>
        <w:t>.</w:t>
      </w:r>
    </w:p>
    <w:p>
      <w:pPr>
        <w:pStyle w:val="Normal"/>
        <w:widowControl w:val="false"/>
        <w:ind w:firstLine="709"/>
        <w:jc w:val="both"/>
        <w:rPr>
          <w:sz w:val="24"/>
          <w:szCs w:val="24"/>
        </w:rPr>
      </w:pPr>
      <w:r>
        <w:rPr>
          <w:sz w:val="24"/>
          <w:szCs w:val="24"/>
        </w:rPr>
        <w:t xml:space="preserve">14.2.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ind w:firstLine="709"/>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ind w:firstLine="709"/>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ind w:firstLine="709"/>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w:t>
      </w:r>
    </w:p>
    <w:p>
      <w:pPr>
        <w:pStyle w:val="Normal"/>
        <w:widowControl w:val="false"/>
        <w:ind w:firstLine="709"/>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ind w:firstLine="709"/>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5) срок действия банковской гарантии, который должен превышать срок действия Контракта не менее чем на один месяц;</w:t>
      </w:r>
    </w:p>
    <w:p>
      <w:pPr>
        <w:pStyle w:val="Normal"/>
        <w:widowControl w:val="false"/>
        <w:ind w:firstLine="709"/>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ind w:firstLine="709"/>
        <w:jc w:val="both"/>
        <w:rPr/>
      </w:pPr>
      <w:r>
        <w:rPr>
          <w:sz w:val="24"/>
          <w:szCs w:val="24"/>
        </w:rPr>
        <w:t xml:space="preserve">7) установленный Правительством Российской Федерации </w:t>
      </w:r>
      <w:hyperlink r:id="rId4">
        <w:r>
          <w:rPr>
            <w:rStyle w:val="Style12"/>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 xml:space="preserve">14.3.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Подрядчик обязуется в течение </w:t>
      </w:r>
      <w:r>
        <w:rPr>
          <w:b/>
          <w:sz w:val="24"/>
          <w:szCs w:val="24"/>
        </w:rPr>
        <w:t xml:space="preserve">5 </w:t>
      </w:r>
      <w:r>
        <w:rPr>
          <w:sz w:val="24"/>
          <w:szCs w:val="24"/>
        </w:rPr>
        <w:t xml:space="preserve">(пяти) рабочих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ind w:firstLine="709"/>
        <w:jc w:val="both"/>
        <w:rPr>
          <w:sz w:val="24"/>
          <w:szCs w:val="24"/>
        </w:rPr>
      </w:pPr>
      <w:r>
        <w:rPr>
          <w:sz w:val="24"/>
          <w:szCs w:val="24"/>
        </w:rPr>
        <w:t xml:space="preserve">14.4. В случае, если после заключения Контракта у банка, выдавшего банковскую гарантию в обеспечение исполнения Контракта, отозвана лицензия на ведение банковской деятельности, Подрядчик обязан в течение </w:t>
      </w:r>
      <w:r>
        <w:rPr>
          <w:b/>
          <w:sz w:val="24"/>
          <w:szCs w:val="24"/>
        </w:rPr>
        <w:t xml:space="preserve">5 </w:t>
      </w:r>
      <w:r>
        <w:rPr>
          <w:sz w:val="24"/>
          <w:szCs w:val="24"/>
        </w:rPr>
        <w:t>(пяти) рабочих дней предоставить новое обеспечение исполнения Контракта.</w:t>
      </w:r>
    </w:p>
    <w:p>
      <w:pPr>
        <w:pStyle w:val="Normal"/>
        <w:widowControl w:val="false"/>
        <w:ind w:firstLine="709"/>
        <w:jc w:val="both"/>
        <w:rPr>
          <w:sz w:val="24"/>
          <w:szCs w:val="24"/>
        </w:rPr>
      </w:pPr>
      <w:r>
        <w:rPr>
          <w:sz w:val="24"/>
          <w:szCs w:val="24"/>
        </w:rPr>
        <w:t xml:space="preserve">14.5. В случае продления срока действия Контракта, а также в случае просрочки Подрядчиком исполнения обязательств по выполнению работ, срок обеспечения исполнения Контракта подлежит продлению на срок, не менее чем на один месяц превышающий срок действия Контракта,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 </w:t>
      </w:r>
    </w:p>
    <w:p>
      <w:pPr>
        <w:pStyle w:val="Normal"/>
        <w:widowControl w:val="false"/>
        <w:ind w:firstLine="709"/>
        <w:jc w:val="both"/>
        <w:rPr>
          <w:sz w:val="24"/>
          <w:szCs w:val="24"/>
        </w:rPr>
      </w:pPr>
      <w:r>
        <w:rPr>
          <w:sz w:val="24"/>
          <w:szCs w:val="24"/>
        </w:rPr>
        <w:t>14.6.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1"/>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12"/>
        <w:ind w:hanging="0"/>
        <w:jc w:val="left"/>
        <w:rPr>
          <w:b/>
          <w:b/>
          <w:sz w:val="24"/>
          <w:szCs w:val="24"/>
        </w:rPr>
      </w:pPr>
      <w:r>
        <w:rPr>
          <w:b/>
          <w:sz w:val="24"/>
          <w:szCs w:val="24"/>
        </w:rPr>
        <w:t>Назначение платежа:</w:t>
      </w:r>
    </w:p>
    <w:p>
      <w:pPr>
        <w:pStyle w:val="Normal"/>
        <w:jc w:val="both"/>
        <w:rPr>
          <w:i/>
          <w:i/>
          <w:sz w:val="24"/>
          <w:szCs w:val="24"/>
        </w:rPr>
      </w:pPr>
      <w:r>
        <w:rPr>
          <w:i/>
          <w:sz w:val="24"/>
          <w:szCs w:val="24"/>
        </w:rPr>
        <w:t>(обеспечение исполнения контракта №___)</w:t>
      </w:r>
    </w:p>
    <w:p>
      <w:pPr>
        <w:pStyle w:val="Normal"/>
        <w:jc w:val="both"/>
        <w:rPr>
          <w:sz w:val="24"/>
          <w:szCs w:val="24"/>
        </w:rPr>
      </w:pPr>
      <w:r>
        <w:rPr>
          <w:sz w:val="24"/>
          <w:szCs w:val="24"/>
        </w:rPr>
        <w:t>Назначение платежа:</w:t>
      </w:r>
      <w:r>
        <w:rPr>
          <w:kern w:val="2"/>
          <w:sz w:val="24"/>
          <w:szCs w:val="24"/>
          <w:lang w:eastAsia="ar-SA"/>
        </w:rPr>
        <w:t xml:space="preserve"> «Внесение денежных средств в обеспечение исполнения Контракта, а также номер и дата протокола, являющегося основанием заключения Контракта»</w:t>
      </w:r>
    </w:p>
    <w:p>
      <w:pPr>
        <w:pStyle w:val="Normal"/>
        <w:spacing w:before="0" w:after="80"/>
        <w:jc w:val="both"/>
        <w:rPr>
          <w:sz w:val="24"/>
          <w:szCs w:val="24"/>
        </w:rPr>
      </w:pPr>
      <w:r>
        <w:rPr>
          <w:i/>
          <w:sz w:val="24"/>
        </w:rPr>
        <w:t>(необходимое указать)</w:t>
      </w:r>
    </w:p>
    <w:p>
      <w:pPr>
        <w:pStyle w:val="Normal"/>
        <w:widowControl w:val="false"/>
        <w:tabs>
          <w:tab w:val="left" w:pos="708" w:leader="none"/>
        </w:tabs>
        <w:ind w:firstLine="709"/>
        <w:jc w:val="both"/>
        <w:textAlignment w:val="baseline"/>
        <w:rPr>
          <w:sz w:val="24"/>
          <w:szCs w:val="24"/>
        </w:rPr>
      </w:pPr>
      <w:r>
        <w:rPr>
          <w:sz w:val="24"/>
          <w:szCs w:val="24"/>
        </w:rPr>
        <w:t>14.7.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w:t>
      </w:r>
    </w:p>
    <w:p>
      <w:pPr>
        <w:pStyle w:val="Normal"/>
        <w:widowControl w:val="false"/>
        <w:ind w:firstLine="709"/>
        <w:jc w:val="both"/>
        <w:rPr>
          <w:sz w:val="24"/>
          <w:szCs w:val="24"/>
        </w:rPr>
      </w:pPr>
      <w:r>
        <w:rPr>
          <w:sz w:val="24"/>
          <w:szCs w:val="24"/>
        </w:rPr>
        <w:t>14.8. Возврат денежных средств, внесенных Подрядчиком в качестве обеспечения исполнения Контракта, производится Заказчиком после завершения Подрядчиком своих обязательств по выполнению работ и на основании соответствующего письменного уведомления Подрядчика с просьбой осуществить возврат обеспечения исполнения Контракта.</w:t>
      </w:r>
    </w:p>
    <w:p>
      <w:pPr>
        <w:pStyle w:val="Normal"/>
        <w:widowControl w:val="false"/>
        <w:ind w:right="-1" w:firstLine="709"/>
        <w:jc w:val="both"/>
        <w:rPr>
          <w:sz w:val="24"/>
          <w:szCs w:val="24"/>
        </w:rPr>
      </w:pPr>
      <w:r>
        <w:rPr>
          <w:sz w:val="24"/>
          <w:szCs w:val="24"/>
        </w:rPr>
        <w:t xml:space="preserve">Заказчик осуществляет возврат денежных средств в течение </w:t>
      </w:r>
      <w:r>
        <w:rPr>
          <w:b/>
          <w:sz w:val="24"/>
          <w:szCs w:val="24"/>
        </w:rPr>
        <w:t>10</w:t>
      </w:r>
      <w:r>
        <w:rPr>
          <w:sz w:val="24"/>
          <w:szCs w:val="24"/>
        </w:rPr>
        <w:t xml:space="preserve"> (десяти) рабочих дней с даты получения от Подрядчика уведомления с просьбой осуществить возврат обеспечения исполнения Контракта.</w:t>
      </w:r>
    </w:p>
    <w:p>
      <w:pPr>
        <w:pStyle w:val="Normal"/>
        <w:widowControl w:val="false"/>
        <w:ind w:firstLine="709"/>
        <w:jc w:val="both"/>
        <w:rPr>
          <w:sz w:val="24"/>
          <w:szCs w:val="24"/>
        </w:rPr>
      </w:pPr>
      <w:r>
        <w:rPr>
          <w:sz w:val="24"/>
          <w:szCs w:val="24"/>
        </w:rPr>
        <w:t xml:space="preserve">Возврат денежных средств, перечисленных в качестве обеспечения исполнения Контракта на счет, указанный Заказчиком, производится в размере, уменьшенном на сумму взыскания убытков и предусмотренных Контрактом и действующим законодательством гражданско-правовых санкций, рассчитанных в соответствии с разделом 11 Контракта (при наличии соответствующих обстоятельств). </w:t>
      </w:r>
    </w:p>
    <w:p>
      <w:pPr>
        <w:pStyle w:val="Normal"/>
        <w:widowControl w:val="false"/>
        <w:ind w:firstLine="709"/>
        <w:jc w:val="both"/>
        <w:rPr>
          <w:sz w:val="24"/>
          <w:szCs w:val="24"/>
        </w:rPr>
      </w:pPr>
      <w:r>
        <w:rPr>
          <w:sz w:val="24"/>
          <w:szCs w:val="24"/>
        </w:rPr>
        <w:t>14.9.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pPr>
        <w:pStyle w:val="Normal"/>
        <w:widowControl w:val="false"/>
        <w:jc w:val="center"/>
        <w:rPr>
          <w:b/>
          <w:b/>
          <w:sz w:val="24"/>
          <w:szCs w:val="24"/>
        </w:rPr>
      </w:pPr>
      <w:r>
        <w:rPr>
          <w:b/>
          <w:sz w:val="24"/>
          <w:szCs w:val="24"/>
        </w:rPr>
        <w:t>15. ПРОЧИЕ УСЛОВИЯ</w:t>
      </w:r>
    </w:p>
    <w:p>
      <w:pPr>
        <w:pStyle w:val="Normal"/>
        <w:widowControl w:val="false"/>
        <w:ind w:firstLine="709"/>
        <w:jc w:val="both"/>
        <w:rPr>
          <w:sz w:val="24"/>
          <w:szCs w:val="24"/>
        </w:rPr>
      </w:pPr>
      <w:r>
        <w:rPr>
          <w:sz w:val="24"/>
          <w:szCs w:val="24"/>
        </w:rPr>
        <w:t>15.1.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телефонов.</w:t>
      </w:r>
    </w:p>
    <w:p>
      <w:pPr>
        <w:pStyle w:val="Normal"/>
        <w:widowControl w:val="false"/>
        <w:shd w:val="clear" w:color="auto" w:fill="FFFFFF"/>
        <w:tabs>
          <w:tab w:val="left" w:pos="1087" w:leader="none"/>
        </w:tabs>
        <w:ind w:firstLine="709"/>
        <w:jc w:val="both"/>
        <w:rPr>
          <w:rFonts w:eastAsia="Batang"/>
          <w:sz w:val="24"/>
          <w:szCs w:val="24"/>
        </w:rPr>
      </w:pPr>
      <w:r>
        <w:rPr>
          <w:rFonts w:eastAsia="Batang"/>
          <w:sz w:val="24"/>
          <w:szCs w:val="24"/>
        </w:rPr>
        <w:t xml:space="preserve">15.2. </w:t>
      </w:r>
      <w:r>
        <w:rPr>
          <w:sz w:val="24"/>
          <w:szCs w:val="24"/>
        </w:rPr>
        <w:t xml:space="preserve">После заключения Контракта в порядке, установленном п. 12.1 Контракта, </w:t>
      </w:r>
      <w:r>
        <w:rPr>
          <w:rFonts w:eastAsia="Batang"/>
          <w:sz w:val="24"/>
          <w:szCs w:val="24"/>
        </w:rPr>
        <w:t xml:space="preserve">Стороны вправе изготовить </w:t>
      </w:r>
      <w:r>
        <w:rPr>
          <w:sz w:val="24"/>
          <w:szCs w:val="24"/>
        </w:rPr>
        <w:t xml:space="preserve">2 (два) экземпляра Контракта на бумажном носителе, подписанных полномочными представителями Сторон, по одному для каждой из Сторон. </w:t>
      </w:r>
    </w:p>
    <w:p>
      <w:pPr>
        <w:pStyle w:val="Normal"/>
        <w:widowControl w:val="false"/>
        <w:ind w:firstLine="709"/>
        <w:jc w:val="both"/>
        <w:rPr>
          <w:sz w:val="24"/>
          <w:szCs w:val="24"/>
        </w:rPr>
      </w:pPr>
      <w:r>
        <w:rPr>
          <w:sz w:val="24"/>
          <w:szCs w:val="24"/>
        </w:rPr>
        <w:t xml:space="preserve">15.3.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ind w:firstLine="709"/>
        <w:jc w:val="both"/>
        <w:rPr>
          <w:sz w:val="24"/>
          <w:szCs w:val="24"/>
        </w:rPr>
      </w:pPr>
      <w:r>
        <w:rPr>
          <w:sz w:val="24"/>
          <w:szCs w:val="24"/>
        </w:rPr>
        <w:t>15.4.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ind w:firstLine="709"/>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ind w:firstLine="709"/>
        <w:jc w:val="both"/>
        <w:rPr>
          <w:sz w:val="24"/>
          <w:szCs w:val="24"/>
        </w:rPr>
      </w:pPr>
      <w:r>
        <w:rPr>
          <w:sz w:val="24"/>
          <w:szCs w:val="24"/>
        </w:rPr>
        <w:t xml:space="preserve">Сторона, получившая претензию, обязана ее исполнить или направить письменный мотивированный ответ другой Стороне в течение </w:t>
      </w:r>
      <w:r>
        <w:rPr>
          <w:b/>
          <w:sz w:val="24"/>
          <w:szCs w:val="24"/>
        </w:rPr>
        <w:t xml:space="preserve">10 </w:t>
      </w:r>
      <w:r>
        <w:rPr>
          <w:sz w:val="24"/>
          <w:szCs w:val="24"/>
        </w:rPr>
        <w:t>(десяти) календарных дней со дня получения претензии.</w:t>
      </w:r>
    </w:p>
    <w:p>
      <w:pPr>
        <w:pStyle w:val="Normal"/>
        <w:widowControl w:val="false"/>
        <w:ind w:firstLine="709"/>
        <w:jc w:val="both"/>
        <w:rPr>
          <w:strike/>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ind w:firstLine="709"/>
        <w:jc w:val="both"/>
        <w:rPr>
          <w:sz w:val="24"/>
          <w:szCs w:val="24"/>
        </w:rPr>
      </w:pPr>
      <w:r>
        <w:rPr>
          <w:sz w:val="24"/>
          <w:szCs w:val="24"/>
        </w:rPr>
        <w:t>15.5.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ind w:firstLine="709"/>
        <w:jc w:val="both"/>
        <w:rPr>
          <w:sz w:val="24"/>
          <w:szCs w:val="24"/>
        </w:rPr>
      </w:pPr>
      <w:r>
        <w:rPr>
          <w:kern w:val="2"/>
          <w:sz w:val="24"/>
          <w:szCs w:val="24"/>
          <w:lang w:eastAsia="hi-IN" w:bidi="hi-IN"/>
        </w:rPr>
        <w:t>15.6.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16 Контракта.</w:t>
      </w:r>
    </w:p>
    <w:p>
      <w:pPr>
        <w:pStyle w:val="Normal"/>
        <w:widowControl w:val="false"/>
        <w:ind w:firstLine="709"/>
        <w:jc w:val="both"/>
        <w:rPr>
          <w:sz w:val="24"/>
          <w:szCs w:val="24"/>
        </w:rPr>
      </w:pPr>
      <w:r>
        <w:rPr>
          <w:rFonts w:eastAsia="Calibri"/>
          <w:sz w:val="24"/>
          <w:szCs w:val="24"/>
          <w:lang w:eastAsia="en-US"/>
        </w:rPr>
        <w:t xml:space="preserve">В случае изменения адреса и реквизитов Подрядчика, указанных </w:t>
      </w:r>
      <w:r>
        <w:rPr>
          <w:kern w:val="2"/>
          <w:sz w:val="24"/>
          <w:szCs w:val="24"/>
          <w:lang w:eastAsia="hi-IN" w:bidi="hi-IN"/>
        </w:rPr>
        <w:t>в Разделе 16 Контракта</w:t>
      </w:r>
      <w:r>
        <w:rPr>
          <w:rFonts w:eastAsia="Calibri"/>
          <w:sz w:val="24"/>
          <w:szCs w:val="24"/>
          <w:lang w:eastAsia="en-US"/>
        </w:rPr>
        <w:t xml:space="preserve">, Подрядчик обязан не позднее </w:t>
      </w:r>
      <w:r>
        <w:rPr>
          <w:rFonts w:eastAsia="Calibri"/>
          <w:b/>
          <w:sz w:val="24"/>
          <w:szCs w:val="24"/>
          <w:lang w:eastAsia="en-US"/>
        </w:rPr>
        <w:t>5</w:t>
      </w:r>
      <w:r>
        <w:rPr>
          <w:rFonts w:eastAsia="Calibri"/>
          <w:sz w:val="24"/>
          <w:szCs w:val="24"/>
          <w:lang w:eastAsia="en-US"/>
        </w:rPr>
        <w:t xml:space="preserve">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ind w:firstLine="709"/>
        <w:jc w:val="both"/>
        <w:rPr>
          <w:sz w:val="24"/>
          <w:szCs w:val="24"/>
        </w:rPr>
      </w:pPr>
      <w:r>
        <w:rPr>
          <w:sz w:val="24"/>
          <w:szCs w:val="24"/>
        </w:rPr>
        <w:t xml:space="preserve">15.7.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ind w:firstLine="709"/>
        <w:jc w:val="both"/>
        <w:rPr>
          <w:sz w:val="24"/>
          <w:szCs w:val="24"/>
        </w:rPr>
      </w:pPr>
      <w:r>
        <w:rPr>
          <w:sz w:val="24"/>
          <w:szCs w:val="24"/>
        </w:rPr>
        <w:t>15.8. Все приложения к Контракту являются его неотъемлемой частью.</w:t>
      </w:r>
    </w:p>
    <w:p>
      <w:pPr>
        <w:pStyle w:val="Normal"/>
        <w:jc w:val="both"/>
        <w:rPr>
          <w:rFonts w:eastAsia="Calibri"/>
          <w:sz w:val="24"/>
          <w:szCs w:val="24"/>
          <w:lang w:eastAsia="en-US"/>
        </w:rPr>
      </w:pPr>
      <w:r>
        <w:rPr>
          <w:rFonts w:eastAsia="Calibri"/>
          <w:sz w:val="24"/>
          <w:szCs w:val="24"/>
          <w:lang w:eastAsia="en-US"/>
        </w:rPr>
        <w:t>Приложения:</w:t>
      </w:r>
    </w:p>
    <w:p>
      <w:pPr>
        <w:pStyle w:val="Normal"/>
        <w:jc w:val="both"/>
        <w:rPr>
          <w:rFonts w:eastAsia="Calibri"/>
          <w:sz w:val="24"/>
          <w:szCs w:val="24"/>
          <w:lang w:eastAsia="en-US"/>
        </w:rPr>
      </w:pPr>
      <w:r>
        <w:rPr>
          <w:rFonts w:eastAsia="Calibri"/>
          <w:sz w:val="24"/>
          <w:szCs w:val="24"/>
          <w:lang w:eastAsia="en-US"/>
        </w:rPr>
        <w:t xml:space="preserve">1. Приложение № 1. </w:t>
      </w:r>
      <w:r>
        <w:rPr>
          <w:sz w:val="24"/>
          <w:szCs w:val="24"/>
        </w:rPr>
        <w:t>Расчет индексов перехода от базисной стоимости к текущим ценам</w:t>
      </w:r>
    </w:p>
    <w:p>
      <w:pPr>
        <w:pStyle w:val="Normal"/>
        <w:jc w:val="both"/>
        <w:rPr>
          <w:sz w:val="24"/>
          <w:szCs w:val="24"/>
          <w:highlight w:val="white"/>
        </w:rPr>
      </w:pPr>
      <w:r>
        <w:rPr>
          <w:rFonts w:eastAsia="Calibri"/>
          <w:sz w:val="24"/>
          <w:szCs w:val="24"/>
          <w:lang w:eastAsia="en-US"/>
        </w:rPr>
        <w:t xml:space="preserve">2. Приложение № 2. </w:t>
      </w:r>
      <w:r>
        <w:rPr>
          <w:sz w:val="24"/>
          <w:szCs w:val="24"/>
          <w:shd w:fill="FFFFFF" w:val="clear"/>
        </w:rPr>
        <w:t>График производства работ</w:t>
      </w:r>
    </w:p>
    <w:p>
      <w:pPr>
        <w:pStyle w:val="Normal"/>
        <w:jc w:val="both"/>
        <w:rPr>
          <w:rFonts w:eastAsia="Calibri"/>
          <w:sz w:val="24"/>
          <w:szCs w:val="24"/>
          <w:lang w:eastAsia="en-US"/>
        </w:rPr>
      </w:pPr>
      <w:r>
        <w:rPr>
          <w:rFonts w:eastAsia="Calibri"/>
          <w:sz w:val="24"/>
          <w:szCs w:val="24"/>
          <w:lang w:eastAsia="en-US"/>
        </w:rPr>
        <w:t xml:space="preserve">3. Приложение № 3. </w:t>
      </w:r>
      <w:r>
        <w:rPr>
          <w:sz w:val="24"/>
          <w:szCs w:val="24"/>
          <w:shd w:fill="FFFFFF" w:val="clear"/>
        </w:rPr>
        <w:t>Техническое задание</w:t>
      </w:r>
    </w:p>
    <w:p>
      <w:pPr>
        <w:pStyle w:val="Normal"/>
        <w:jc w:val="both"/>
        <w:rPr>
          <w:sz w:val="24"/>
          <w:szCs w:val="24"/>
        </w:rPr>
      </w:pPr>
      <w:r>
        <w:rPr>
          <w:rFonts w:eastAsia="Calibri"/>
          <w:sz w:val="24"/>
          <w:szCs w:val="24"/>
          <w:lang w:eastAsia="en-US"/>
        </w:rPr>
        <w:t xml:space="preserve">4. Приложение № 4. </w:t>
      </w:r>
      <w:r>
        <w:rPr>
          <w:sz w:val="24"/>
          <w:szCs w:val="24"/>
        </w:rPr>
        <w:t>Локальная смета с учетом полученной в ходе аукциона цены контракта</w:t>
      </w:r>
    </w:p>
    <w:p>
      <w:pPr>
        <w:pStyle w:val="Normal"/>
        <w:jc w:val="both"/>
        <w:rPr>
          <w:rFonts w:eastAsia="Calibri"/>
          <w:sz w:val="22"/>
          <w:szCs w:val="22"/>
          <w:lang w:eastAsia="en-US"/>
        </w:rPr>
      </w:pPr>
      <w:r>
        <w:rPr>
          <w:rFonts w:eastAsia="Calibri"/>
          <w:sz w:val="22"/>
          <w:szCs w:val="22"/>
          <w:lang w:eastAsia="en-US"/>
        </w:rPr>
      </w:r>
    </w:p>
    <w:p>
      <w:pPr>
        <w:pStyle w:val="Normal"/>
        <w:jc w:val="center"/>
        <w:rPr>
          <w:rFonts w:eastAsia="Calibri"/>
          <w:b/>
          <w:b/>
          <w:sz w:val="22"/>
          <w:szCs w:val="22"/>
          <w:lang w:eastAsia="en-US"/>
        </w:rPr>
      </w:pPr>
      <w:r>
        <w:rPr>
          <w:rFonts w:eastAsia="Calibri"/>
          <w:b/>
          <w:sz w:val="22"/>
          <w:szCs w:val="22"/>
          <w:lang w:eastAsia="en-US"/>
        </w:rPr>
        <w:t>16. Адреса и банковские реквизиты сторон</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941"/>
        <w:gridCol w:w="4333"/>
      </w:tblGrid>
      <w:tr>
        <w:trPr>
          <w:trHeight w:val="20" w:hRule="atLeast"/>
        </w:trPr>
        <w:tc>
          <w:tcPr>
            <w:tcW w:w="5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2"/>
                <w:szCs w:val="22"/>
                <w:lang w:eastAsia="en-US"/>
              </w:rPr>
            </w:pPr>
            <w:r>
              <w:rPr>
                <w:rFonts w:eastAsia="Calibri"/>
                <w:b/>
                <w:sz w:val="22"/>
                <w:szCs w:val="22"/>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2"/>
                <w:szCs w:val="22"/>
              </w:rPr>
            </w:pPr>
            <w:r>
              <w:rPr>
                <w:color w:val="000000"/>
                <w:sz w:val="24"/>
                <w:szCs w:val="24"/>
              </w:rPr>
              <w:t>ОКТМО 546200151</w:t>
            </w:r>
          </w:p>
        </w:tc>
        <w:tc>
          <w:tcPr>
            <w:tcW w:w="43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2"/>
                <w:szCs w:val="22"/>
                <w:lang w:eastAsia="en-US"/>
              </w:rPr>
            </w:pPr>
            <w:r>
              <w:rPr>
                <w:rFonts w:eastAsia="Calibri"/>
                <w:b/>
                <w:sz w:val="22"/>
                <w:szCs w:val="22"/>
                <w:lang w:eastAsia="en-US"/>
              </w:rPr>
              <w:t>ПОДРЯДЧИК:</w:t>
            </w:r>
            <w:r>
              <w:rPr>
                <w:rFonts w:eastAsia="Calibri"/>
                <w:sz w:val="22"/>
                <w:szCs w:val="22"/>
                <w:lang w:eastAsia="en-US"/>
              </w:rPr>
              <w:t xml:space="preserve"> </w:t>
            </w:r>
          </w:p>
          <w:p>
            <w:pPr>
              <w:pStyle w:val="Normal"/>
              <w:jc w:val="both"/>
              <w:rPr>
                <w:rFonts w:eastAsia="Calibri"/>
                <w:b/>
                <w:b/>
                <w:sz w:val="24"/>
                <w:szCs w:val="24"/>
                <w:lang w:eastAsia="en-US"/>
              </w:rPr>
            </w:pPr>
            <w:r>
              <w:rPr>
                <w:rFonts w:eastAsia="Calibri"/>
                <w:b/>
                <w:sz w:val="22"/>
                <w:szCs w:val="22"/>
                <w:lang w:eastAsia="en-US"/>
              </w:rPr>
              <w:t xml:space="preserve"> </w:t>
            </w:r>
            <w:r>
              <w:rPr>
                <w:rFonts w:eastAsia="Calibri"/>
                <w:b/>
                <w:sz w:val="24"/>
                <w:szCs w:val="24"/>
                <w:lang w:eastAsia="en-US"/>
              </w:rPr>
              <w:t>ООО «ФРЕГАТ»</w:t>
            </w:r>
          </w:p>
          <w:p>
            <w:pPr>
              <w:pStyle w:val="Normal"/>
              <w:rPr>
                <w:sz w:val="24"/>
                <w:szCs w:val="24"/>
              </w:rPr>
            </w:pPr>
            <w:r>
              <w:rPr>
                <w:rFonts w:eastAsia="Calibri"/>
                <w:b/>
                <w:sz w:val="24"/>
                <w:szCs w:val="24"/>
                <w:lang w:eastAsia="en-US"/>
              </w:rPr>
              <w:t xml:space="preserve"> </w:t>
            </w:r>
            <w:r>
              <w:rPr>
                <w:bCs/>
                <w:sz w:val="24"/>
                <w:szCs w:val="24"/>
              </w:rPr>
              <w:t xml:space="preserve">Юр. адрес: </w:t>
            </w:r>
            <w:r>
              <w:rPr>
                <w:sz w:val="24"/>
                <w:szCs w:val="24"/>
              </w:rPr>
              <w:t>302028, г. Орел, ул.  Октябрьская, д. 27, литер В, В4 пом. 35</w:t>
            </w:r>
          </w:p>
          <w:p>
            <w:pPr>
              <w:pStyle w:val="Normal"/>
              <w:rPr>
                <w:bCs/>
                <w:sz w:val="24"/>
                <w:szCs w:val="24"/>
              </w:rPr>
            </w:pPr>
            <w:r>
              <w:rPr>
                <w:bCs/>
                <w:sz w:val="24"/>
                <w:szCs w:val="24"/>
              </w:rPr>
              <w:t xml:space="preserve">Почтовый адрес: </w:t>
            </w:r>
            <w:r>
              <w:rPr>
                <w:sz w:val="24"/>
                <w:szCs w:val="24"/>
              </w:rPr>
              <w:t>302020, г. Орел, Наугорское шоссе, д. 21, кв. 34.</w:t>
            </w:r>
          </w:p>
          <w:p>
            <w:pPr>
              <w:pStyle w:val="Normal"/>
              <w:spacing w:lineRule="auto" w:line="276"/>
              <w:rPr>
                <w:rFonts w:eastAsia="Calibri"/>
                <w:sz w:val="24"/>
                <w:szCs w:val="24"/>
                <w:lang w:eastAsia="en-US"/>
              </w:rPr>
            </w:pPr>
            <w:r>
              <w:rPr>
                <w:rFonts w:eastAsia="Calibri"/>
                <w:sz w:val="24"/>
                <w:szCs w:val="24"/>
                <w:lang w:eastAsia="en-US"/>
              </w:rPr>
              <w:t xml:space="preserve">р/сч </w:t>
            </w:r>
            <w:r>
              <w:rPr>
                <w:sz w:val="24"/>
                <w:szCs w:val="24"/>
              </w:rPr>
              <w:t>40702810847000000936</w:t>
            </w:r>
          </w:p>
          <w:p>
            <w:pPr>
              <w:pStyle w:val="Normal"/>
              <w:rPr>
                <w:sz w:val="24"/>
                <w:szCs w:val="24"/>
              </w:rPr>
            </w:pPr>
            <w:r>
              <w:rPr>
                <w:sz w:val="24"/>
                <w:szCs w:val="24"/>
              </w:rPr>
              <w:t>в Орловском отделении № 8595 ПАО Сбербанк г.Орла</w:t>
            </w:r>
          </w:p>
          <w:p>
            <w:pPr>
              <w:pStyle w:val="Normal"/>
              <w:rPr>
                <w:sz w:val="24"/>
                <w:szCs w:val="24"/>
              </w:rPr>
            </w:pPr>
            <w:r>
              <w:rPr>
                <w:sz w:val="24"/>
                <w:szCs w:val="24"/>
              </w:rPr>
              <w:t>Кор. сч. 30101810300000000601</w:t>
            </w:r>
          </w:p>
          <w:p>
            <w:pPr>
              <w:pStyle w:val="Normal"/>
              <w:spacing w:lineRule="auto" w:line="276"/>
              <w:rPr>
                <w:rFonts w:eastAsia="Calibri"/>
                <w:sz w:val="24"/>
                <w:szCs w:val="24"/>
                <w:lang w:eastAsia="en-US"/>
              </w:rPr>
            </w:pPr>
            <w:r>
              <w:rPr>
                <w:rFonts w:eastAsia="Calibri"/>
                <w:sz w:val="24"/>
                <w:szCs w:val="24"/>
                <w:lang w:eastAsia="en-US"/>
              </w:rPr>
              <w:t xml:space="preserve">БИК </w:t>
            </w:r>
            <w:r>
              <w:rPr>
                <w:sz w:val="24"/>
                <w:szCs w:val="24"/>
              </w:rPr>
              <w:t>045402601</w:t>
            </w:r>
          </w:p>
          <w:p>
            <w:pPr>
              <w:pStyle w:val="Normal"/>
              <w:rPr>
                <w:sz w:val="24"/>
                <w:szCs w:val="24"/>
              </w:rPr>
            </w:pPr>
            <w:r>
              <w:rPr>
                <w:sz w:val="24"/>
                <w:szCs w:val="24"/>
              </w:rPr>
              <w:t>ИНН 5753036710</w:t>
            </w:r>
          </w:p>
          <w:p>
            <w:pPr>
              <w:pStyle w:val="Normal"/>
              <w:rPr>
                <w:sz w:val="24"/>
                <w:szCs w:val="24"/>
              </w:rPr>
            </w:pPr>
            <w:r>
              <w:rPr>
                <w:sz w:val="24"/>
                <w:szCs w:val="24"/>
              </w:rPr>
              <w:t>КПП 575301001</w:t>
            </w:r>
          </w:p>
          <w:p>
            <w:pPr>
              <w:pStyle w:val="Normal"/>
              <w:rPr>
                <w:sz w:val="24"/>
                <w:szCs w:val="24"/>
              </w:rPr>
            </w:pPr>
            <w:r>
              <w:rPr>
                <w:sz w:val="24"/>
                <w:szCs w:val="24"/>
              </w:rPr>
              <w:t>ОГРН 1055753027065</w:t>
            </w:r>
          </w:p>
          <w:p>
            <w:pPr>
              <w:pStyle w:val="Normal"/>
              <w:rPr>
                <w:b/>
                <w:b/>
                <w:sz w:val="22"/>
                <w:szCs w:val="22"/>
              </w:rPr>
            </w:pPr>
            <w:r>
              <w:rPr>
                <w:b/>
                <w:sz w:val="22"/>
                <w:szCs w:val="22"/>
              </w:rPr>
            </w:r>
          </w:p>
        </w:tc>
      </w:tr>
    </w:tbl>
    <w:p>
      <w:pPr>
        <w:pStyle w:val="Normal"/>
        <w:tabs>
          <w:tab w:val="left" w:pos="4210" w:leader="none"/>
        </w:tabs>
        <w:ind w:right="7" w:hanging="0"/>
        <w:jc w:val="both"/>
        <w:rPr>
          <w:bCs/>
          <w:sz w:val="22"/>
          <w:szCs w:val="22"/>
        </w:rPr>
      </w:pPr>
      <w:r>
        <w:rPr>
          <w:bCs/>
          <w:sz w:val="22"/>
          <w:szCs w:val="22"/>
        </w:rPr>
      </w:r>
    </w:p>
    <w:p>
      <w:pPr>
        <w:pStyle w:val="Normal"/>
        <w:jc w:val="center"/>
        <w:rPr>
          <w:rFonts w:eastAsia="Calibri"/>
          <w:b/>
          <w:b/>
          <w:sz w:val="22"/>
          <w:szCs w:val="22"/>
          <w:lang w:eastAsia="en-US"/>
        </w:rPr>
      </w:pPr>
      <w:r>
        <w:rPr>
          <w:rFonts w:eastAsia="Calibri"/>
          <w:b/>
          <w:sz w:val="22"/>
          <w:szCs w:val="22"/>
          <w:lang w:eastAsia="en-US"/>
        </w:rPr>
        <w:t xml:space="preserve">17. Подписи сторон </w:t>
      </w:r>
    </w:p>
    <w:p>
      <w:pPr>
        <w:pStyle w:val="Normal"/>
        <w:jc w:val="center"/>
        <w:rPr>
          <w:rFonts w:eastAsia="Calibri"/>
          <w:sz w:val="22"/>
          <w:szCs w:val="22"/>
          <w:lang w:eastAsia="en-US"/>
        </w:rPr>
      </w:pPr>
      <w:r>
        <w:rPr>
          <w:rFonts w:eastAsia="Calibri"/>
          <w:sz w:val="22"/>
          <w:szCs w:val="22"/>
          <w:lang w:eastAsia="en-US"/>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№1</w:t>
      </w:r>
    </w:p>
    <w:p>
      <w:pPr>
        <w:pStyle w:val="Normal"/>
        <w:jc w:val="center"/>
        <w:rPr>
          <w:b/>
          <w:b/>
          <w:sz w:val="22"/>
          <w:szCs w:val="22"/>
        </w:rPr>
      </w:pPr>
      <w:r>
        <w:rPr>
          <w:b/>
          <w:sz w:val="22"/>
          <w:szCs w:val="22"/>
        </w:rPr>
        <w:t xml:space="preserve">                                                                                                                               </w:t>
      </w:r>
      <w:r>
        <w:rPr>
          <w:b/>
          <w:sz w:val="22"/>
          <w:szCs w:val="22"/>
        </w:rPr>
        <w:t xml:space="preserve">К муниципальному контракту </w:t>
      </w:r>
    </w:p>
    <w:p>
      <w:pPr>
        <w:pStyle w:val="Normal"/>
        <w:jc w:val="right"/>
        <w:rPr>
          <w:b/>
          <w:b/>
          <w:sz w:val="22"/>
          <w:szCs w:val="22"/>
        </w:rPr>
      </w:pPr>
      <w:r>
        <w:rPr>
          <w:b/>
          <w:sz w:val="22"/>
          <w:szCs w:val="22"/>
        </w:rPr>
        <w:t xml:space="preserve">                                                 № </w:t>
      </w:r>
      <w:r>
        <w:rPr>
          <w:b/>
          <w:color w:val="000000"/>
          <w:sz w:val="24"/>
          <w:szCs w:val="24"/>
        </w:rPr>
        <w:t>0154300014120000002-2/2020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center"/>
        <w:rPr>
          <w:b/>
          <w:b/>
          <w:sz w:val="24"/>
          <w:szCs w:val="24"/>
        </w:rPr>
      </w:pPr>
      <w:r>
        <w:rPr>
          <w:b/>
          <w:sz w:val="24"/>
          <w:szCs w:val="24"/>
        </w:rPr>
        <w:t>Расчет индексов перехода от базисной стоимости к текущим ценам</w:t>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Ленина, д.20"</w:t>
      </w:r>
    </w:p>
    <w:p>
      <w:pPr>
        <w:pStyle w:val="Normal"/>
        <w:jc w:val="center"/>
        <w:rPr>
          <w:b/>
          <w:b/>
          <w:sz w:val="24"/>
          <w:szCs w:val="24"/>
        </w:rPr>
      </w:pPr>
      <w:r>
        <w:rPr>
          <w:b/>
          <w:sz w:val="24"/>
          <w:szCs w:val="24"/>
        </w:rPr>
      </w:r>
    </w:p>
    <w:tbl>
      <w:tblPr>
        <w:tblStyle w:val="a7"/>
        <w:tblW w:w="9747" w:type="dxa"/>
        <w:jc w:val="left"/>
        <w:tblInd w:w="0" w:type="dxa"/>
        <w:tblCellMar>
          <w:top w:w="0" w:type="dxa"/>
          <w:left w:w="108" w:type="dxa"/>
          <w:bottom w:w="0" w:type="dxa"/>
          <w:right w:w="108" w:type="dxa"/>
        </w:tblCellMar>
        <w:tblLook w:val="04a0"/>
      </w:tblPr>
      <w:tblGrid>
        <w:gridCol w:w="624"/>
        <w:gridCol w:w="2885"/>
        <w:gridCol w:w="2269"/>
        <w:gridCol w:w="2126"/>
        <w:gridCol w:w="1843"/>
      </w:tblGrid>
      <w:tr>
        <w:trPr>
          <w:trHeight w:val="268" w:hRule="atLeast"/>
        </w:trPr>
        <w:tc>
          <w:tcPr>
            <w:tcW w:w="624" w:type="dxa"/>
            <w:vMerge w:val="restart"/>
            <w:tcBorders/>
            <w:shd w:fill="auto" w:val="clear"/>
          </w:tcPr>
          <w:p>
            <w:pPr>
              <w:pStyle w:val="Normal"/>
              <w:spacing w:lineRule="auto" w:line="240" w:before="0" w:after="0"/>
              <w:jc w:val="center"/>
              <w:rPr>
                <w:szCs w:val="24"/>
              </w:rPr>
            </w:pPr>
            <w:r>
              <w:rPr>
                <w:rFonts w:eastAsia="Times New Roman" w:cs="Times New Roman"/>
                <w:szCs w:val="24"/>
                <w:lang w:eastAsia="ru-RU"/>
              </w:rPr>
              <w:t xml:space="preserve">№ </w:t>
            </w:r>
            <w:r>
              <w:rPr>
                <w:rFonts w:eastAsia="Times New Roman" w:cs="Times New Roman"/>
                <w:szCs w:val="24"/>
                <w:lang w:eastAsia="ru-RU"/>
              </w:rPr>
              <w:t>п/п</w:t>
            </w:r>
          </w:p>
        </w:tc>
        <w:tc>
          <w:tcPr>
            <w:tcW w:w="2885" w:type="dxa"/>
            <w:vMerge w:val="restart"/>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Наименование работ и затрат </w:t>
            </w:r>
          </w:p>
        </w:tc>
        <w:tc>
          <w:tcPr>
            <w:tcW w:w="6238" w:type="dxa"/>
            <w:gridSpan w:val="3"/>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Сметная стоимость по муниципальному контракту</w:t>
            </w:r>
          </w:p>
        </w:tc>
      </w:tr>
      <w:tr>
        <w:trPr>
          <w:trHeight w:val="142" w:hRule="atLeast"/>
        </w:trPr>
        <w:tc>
          <w:tcPr>
            <w:tcW w:w="624" w:type="dxa"/>
            <w:vMerge w:val="continue"/>
            <w:tcBorders/>
            <w:shd w:fill="auto" w:val="clear"/>
          </w:tcPr>
          <w:p>
            <w:pPr>
              <w:pStyle w:val="Normal"/>
              <w:spacing w:lineRule="auto" w:line="240" w:before="0" w:after="0"/>
              <w:jc w:val="center"/>
              <w:rPr>
                <w:rFonts w:ascii="Times New Roman" w:hAnsi="Times New Roman" w:eastAsia="Times New Roman" w:cs="Times New Roman"/>
                <w:szCs w:val="20"/>
                <w:lang w:eastAsia="ru-RU"/>
              </w:rPr>
            </w:pPr>
            <w:r>
              <w:rPr>
                <w:rFonts w:eastAsia="Times New Roman" w:cs="Times New Roman"/>
                <w:szCs w:val="20"/>
                <w:lang w:eastAsia="ru-RU"/>
              </w:rPr>
            </w:r>
          </w:p>
        </w:tc>
        <w:tc>
          <w:tcPr>
            <w:tcW w:w="2885" w:type="dxa"/>
            <w:vMerge w:val="continue"/>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269" w:type="dxa"/>
            <w:tcBorders/>
            <w:shd w:fill="auto" w:val="clear"/>
          </w:tcPr>
          <w:p>
            <w:pPr>
              <w:pStyle w:val="Normal"/>
              <w:spacing w:lineRule="auto" w:line="240" w:before="0" w:after="0"/>
              <w:jc w:val="center"/>
              <w:rPr>
                <w:szCs w:val="24"/>
              </w:rPr>
            </w:pPr>
            <w:r>
              <w:rPr>
                <w:rFonts w:eastAsia="Times New Roman" w:cs="Times New Roman"/>
                <w:szCs w:val="24"/>
                <w:lang w:eastAsia="ru-RU"/>
              </w:rPr>
              <w:t>в базисном уровне цен на 2000г., тыс. руб.</w:t>
            </w:r>
          </w:p>
        </w:tc>
        <w:tc>
          <w:tcPr>
            <w:tcW w:w="2126" w:type="dxa"/>
            <w:tcBorders/>
            <w:shd w:fill="auto" w:val="clear"/>
          </w:tcPr>
          <w:p>
            <w:pPr>
              <w:pStyle w:val="Normal"/>
              <w:spacing w:lineRule="auto" w:line="240" w:before="0" w:after="0"/>
              <w:jc w:val="center"/>
              <w:rPr>
                <w:szCs w:val="24"/>
              </w:rPr>
            </w:pPr>
            <w:r>
              <w:rPr>
                <w:rFonts w:eastAsia="Times New Roman" w:cs="Times New Roman"/>
                <w:szCs w:val="24"/>
                <w:lang w:eastAsia="ru-RU"/>
              </w:rPr>
              <w:t>в текущих ценах, с учетом выделенных лимитов, в тыс. руб.</w:t>
            </w:r>
          </w:p>
        </w:tc>
        <w:tc>
          <w:tcPr>
            <w:tcW w:w="1843" w:type="dxa"/>
            <w:tcBorders/>
            <w:shd w:fill="auto" w:val="clear"/>
          </w:tcPr>
          <w:p>
            <w:pPr>
              <w:pStyle w:val="Normal"/>
              <w:spacing w:lineRule="auto" w:line="240" w:before="0" w:after="0"/>
              <w:jc w:val="center"/>
              <w:rPr>
                <w:szCs w:val="24"/>
              </w:rPr>
            </w:pPr>
            <w:r>
              <w:rPr>
                <w:rFonts w:eastAsia="Times New Roman" w:cs="Times New Roman"/>
                <w:szCs w:val="24"/>
                <w:lang w:eastAsia="ru-RU"/>
              </w:rPr>
              <w:t>Индекс перехода от базисной стоимости к текущей</w:t>
            </w:r>
          </w:p>
        </w:tc>
      </w:tr>
      <w:tr>
        <w:trPr>
          <w:trHeight w:val="268"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1 </w:t>
            </w:r>
          </w:p>
        </w:tc>
        <w:tc>
          <w:tcPr>
            <w:tcW w:w="2885"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2</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3</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w:t>
            </w:r>
          </w:p>
        </w:tc>
      </w:tr>
      <w:tr>
        <w:trPr>
          <w:trHeight w:val="455" w:hRule="atLeast"/>
        </w:trPr>
        <w:tc>
          <w:tcPr>
            <w:tcW w:w="62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w:t>
            </w:r>
          </w:p>
        </w:tc>
        <w:tc>
          <w:tcPr>
            <w:tcW w:w="2885" w:type="dxa"/>
            <w:tcBorders/>
            <w:shd w:fill="auto" w:val="clear"/>
          </w:tcPr>
          <w:p>
            <w:pPr>
              <w:pStyle w:val="Normal"/>
              <w:spacing w:lineRule="auto" w:line="240" w:before="0" w:after="0"/>
              <w:jc w:val="both"/>
              <w:rPr>
                <w:sz w:val="24"/>
                <w:szCs w:val="24"/>
              </w:rPr>
            </w:pPr>
            <w:r>
              <w:rPr>
                <w:rFonts w:eastAsia="Times New Roman" w:cs="Times New Roman"/>
                <w:b/>
                <w:szCs w:val="24"/>
                <w:lang w:eastAsia="ru-RU"/>
              </w:rPr>
              <w:t>СМР</w:t>
            </w:r>
            <w:r>
              <w:rPr>
                <w:rFonts w:eastAsia="Times New Roman" w:cs="Times New Roman"/>
                <w:szCs w:val="24"/>
                <w:lang w:eastAsia="ru-RU"/>
              </w:rPr>
              <w:t xml:space="preserve"> </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122,794</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951,57328</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7,74934671075</w:t>
            </w:r>
          </w:p>
        </w:tc>
      </w:tr>
      <w:tr>
        <w:trPr>
          <w:trHeight w:val="281" w:hRule="atLeast"/>
        </w:trPr>
        <w:tc>
          <w:tcPr>
            <w:tcW w:w="624" w:type="dxa"/>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885" w:type="dxa"/>
            <w:tcBorders/>
            <w:shd w:fill="auto" w:val="clear"/>
          </w:tcPr>
          <w:p>
            <w:pPr>
              <w:pStyle w:val="Normal"/>
              <w:spacing w:lineRule="auto" w:line="240" w:before="0" w:after="0"/>
              <w:jc w:val="both"/>
              <w:rPr>
                <w:b/>
                <w:b/>
                <w:sz w:val="24"/>
                <w:szCs w:val="24"/>
              </w:rPr>
            </w:pPr>
            <w:r>
              <w:rPr>
                <w:rFonts w:eastAsia="Times New Roman" w:cs="Times New Roman"/>
                <w:b/>
                <w:sz w:val="24"/>
                <w:szCs w:val="24"/>
                <w:lang w:eastAsia="ru-RU"/>
              </w:rPr>
              <w:t>Всего:</w:t>
            </w:r>
          </w:p>
        </w:tc>
        <w:tc>
          <w:tcPr>
            <w:tcW w:w="2269"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122,794</w:t>
            </w:r>
          </w:p>
        </w:tc>
        <w:tc>
          <w:tcPr>
            <w:tcW w:w="212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951,57328</w:t>
            </w:r>
          </w:p>
        </w:tc>
        <w:tc>
          <w:tcPr>
            <w:tcW w:w="1843"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7,74934671075</w:t>
            </w:r>
          </w:p>
        </w:tc>
      </w:tr>
    </w:tbl>
    <w:p>
      <w:pPr>
        <w:pStyle w:val="Normal"/>
        <w:rPr>
          <w:b/>
          <w:b/>
          <w:sz w:val="22"/>
          <w:szCs w:val="22"/>
        </w:rPr>
      </w:pPr>
      <w:r>
        <w:rPr>
          <w:b/>
          <w:sz w:val="22"/>
          <w:szCs w:val="22"/>
        </w:rPr>
      </w:r>
    </w:p>
    <w:p>
      <w:pPr>
        <w:pStyle w:val="Normal"/>
        <w:jc w:val="right"/>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№2</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0154300014120000002-2/2020</w:t>
      </w:r>
    </w:p>
    <w:p>
      <w:pPr>
        <w:pStyle w:val="Normal"/>
        <w:jc w:val="right"/>
        <w:rPr>
          <w:b/>
          <w:b/>
          <w:sz w:val="22"/>
          <w:szCs w:val="22"/>
        </w:rPr>
      </w:pPr>
      <w:r>
        <w:rPr>
          <w:b/>
          <w:sz w:val="22"/>
          <w:szCs w:val="22"/>
        </w:rPr>
        <w:t>От__________________2020 г.</w:t>
      </w:r>
    </w:p>
    <w:p>
      <w:pPr>
        <w:pStyle w:val="Normal"/>
        <w:jc w:val="center"/>
        <w:rPr>
          <w:b/>
          <w:b/>
          <w:sz w:val="22"/>
          <w:szCs w:val="22"/>
        </w:rPr>
      </w:pPr>
      <w:r>
        <w:rPr>
          <w:b/>
          <w:sz w:val="22"/>
          <w:szCs w:val="22"/>
        </w:rPr>
        <w:t>График производства работ</w:t>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Ленина, д.20"</w:t>
      </w:r>
    </w:p>
    <w:p>
      <w:pPr>
        <w:pStyle w:val="Normal"/>
        <w:jc w:val="center"/>
        <w:rPr>
          <w:b/>
          <w:b/>
          <w:sz w:val="22"/>
          <w:szCs w:val="22"/>
        </w:rPr>
      </w:pPr>
      <w:r>
        <w:rPr>
          <w:b/>
          <w:sz w:val="22"/>
          <w:szCs w:val="22"/>
        </w:rPr>
      </w:r>
    </w:p>
    <w:tbl>
      <w:tblPr>
        <w:tblW w:w="10666" w:type="dxa"/>
        <w:jc w:val="left"/>
        <w:tblInd w:w="0" w:type="dxa"/>
        <w:tblBorders>
          <w:top w:val="single" w:sz="4" w:space="0" w:color="000000"/>
          <w:left w:val="single" w:sz="4" w:space="0" w:color="000000"/>
          <w:right w:val="single" w:sz="4" w:space="0" w:color="000000"/>
          <w:insideV w:val="single" w:sz="4" w:space="0" w:color="000000"/>
        </w:tblBorders>
        <w:tblCellMar>
          <w:top w:w="0" w:type="dxa"/>
          <w:left w:w="103" w:type="dxa"/>
          <w:bottom w:w="0" w:type="dxa"/>
          <w:right w:w="108" w:type="dxa"/>
        </w:tblCellMar>
        <w:tblLook w:val="04a0"/>
      </w:tblPr>
      <w:tblGrid>
        <w:gridCol w:w="709"/>
        <w:gridCol w:w="7371"/>
        <w:gridCol w:w="1275"/>
        <w:gridCol w:w="1275"/>
        <w:gridCol w:w="1"/>
        <w:gridCol w:w="35"/>
      </w:tblGrid>
      <w:tr>
        <w:trPr>
          <w:trHeight w:val="329" w:hRule="atLeast"/>
        </w:trPr>
        <w:tc>
          <w:tcPr>
            <w:tcW w:w="709" w:type="dxa"/>
            <w:vMerge w:val="restart"/>
            <w:tcBorders>
              <w:top w:val="single" w:sz="4" w:space="0" w:color="000000"/>
              <w:left w:val="single" w:sz="4" w:space="0" w:color="000000"/>
              <w:right w:val="single" w:sz="4" w:space="0" w:color="000000"/>
              <w:insideV w:val="single" w:sz="4" w:space="0" w:color="000000"/>
            </w:tcBorders>
            <w:shd w:fill="auto" w:val="clear"/>
            <w:vAlign w:val="center"/>
          </w:tcPr>
          <w:p>
            <w:pPr>
              <w:pStyle w:val="Normal"/>
              <w:jc w:val="center"/>
              <w:rPr>
                <w:b/>
                <w:b/>
              </w:rPr>
            </w:pPr>
            <w:r>
              <w:rPr>
                <w:b/>
              </w:rPr>
              <w:t xml:space="preserve">№ </w:t>
            </w:r>
            <w:r>
              <w:rPr>
                <w:b/>
              </w:rPr>
              <w:t>пп</w:t>
            </w:r>
          </w:p>
        </w:tc>
        <w:tc>
          <w:tcPr>
            <w:tcW w:w="7371" w:type="dxa"/>
            <w:vMerge w:val="restart"/>
            <w:tcBorders>
              <w:top w:val="single" w:sz="4" w:space="0" w:color="000000"/>
              <w:right w:val="single" w:sz="4" w:space="0" w:color="000000"/>
              <w:insideV w:val="single" w:sz="4" w:space="0" w:color="000000"/>
            </w:tcBorders>
            <w:shd w:fill="auto" w:val="clear"/>
            <w:vAlign w:val="center"/>
          </w:tcPr>
          <w:p>
            <w:pPr>
              <w:pStyle w:val="Normal"/>
              <w:jc w:val="center"/>
              <w:rPr>
                <w:b/>
                <w:b/>
              </w:rPr>
            </w:pPr>
            <w:r>
              <w:rPr>
                <w:b/>
              </w:rPr>
              <w:t>Наименование</w:t>
            </w:r>
          </w:p>
        </w:tc>
        <w:tc>
          <w:tcPr>
            <w:tcW w:w="2586"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Сроки исполнения</w:t>
            </w:r>
          </w:p>
        </w:tc>
      </w:tr>
      <w:tr>
        <w:trPr>
          <w:trHeight w:val="277" w:hRule="atLeast"/>
        </w:trPr>
        <w:tc>
          <w:tcPr>
            <w:tcW w:w="70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c>
          <w:tcPr>
            <w:tcW w:w="7371" w:type="dxa"/>
            <w:vMerge w:val="continue"/>
            <w:tcBorders>
              <w:right w:val="single" w:sz="4" w:space="0" w:color="000000"/>
              <w:insideV w:val="single" w:sz="4" w:space="0" w:color="000000"/>
            </w:tcBorders>
            <w:shd w:fill="auto" w:val="clear"/>
            <w:vAlign w:val="center"/>
          </w:tcPr>
          <w:p>
            <w:pPr>
              <w:pStyle w:val="Normal"/>
              <w:jc w:val="center"/>
              <w:rPr>
                <w:b/>
                <w:b/>
              </w:rPr>
            </w:pPr>
            <w:r>
              <w:rPr>
                <w:b/>
              </w:rPr>
            </w:r>
          </w:p>
        </w:tc>
        <w:tc>
          <w:tcPr>
            <w:tcW w:w="127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Начало</w:t>
            </w:r>
          </w:p>
        </w:tc>
        <w:tc>
          <w:tcPr>
            <w:tcW w:w="1311" w:type="dxa"/>
            <w:gridSpan w:val="3"/>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Окончание</w:t>
            </w:r>
          </w:p>
        </w:tc>
      </w:tr>
      <w:tr>
        <w:trPr>
          <w:trHeight w:val="255" w:hRule="atLeast"/>
        </w:trPr>
        <w:tc>
          <w:tcPr>
            <w:tcW w:w="709" w:type="dxa"/>
            <w:tcBorders>
              <w:left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1</w:t>
            </w:r>
          </w:p>
        </w:tc>
        <w:tc>
          <w:tcPr>
            <w:tcW w:w="7371" w:type="dxa"/>
            <w:tcBorders>
              <w:top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2</w:t>
            </w:r>
          </w:p>
        </w:tc>
        <w:tc>
          <w:tcPr>
            <w:tcW w:w="1275" w:type="dxa"/>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3</w:t>
            </w:r>
          </w:p>
        </w:tc>
        <w:tc>
          <w:tcPr>
            <w:tcW w:w="1311" w:type="dxa"/>
            <w:gridSpan w:val="3"/>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4</w:t>
            </w:r>
          </w:p>
        </w:tc>
      </w:tr>
      <w:tr>
        <w:trPr>
          <w:trHeight w:val="383"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1. Площадка для стоянки автомобилей.</w:t>
            </w:r>
          </w:p>
        </w:tc>
        <w:tc>
          <w:tcPr>
            <w:tcW w:w="35" w:type="dxa"/>
            <w:tcBorders/>
            <w:shd w:fill="auto" w:val="clear"/>
          </w:tcPr>
          <w:p>
            <w:pPr>
              <w:pStyle w:val="Normal"/>
              <w:rPr/>
            </w:pPr>
            <w:r>
              <w:rPr/>
            </w:r>
          </w:p>
        </w:tc>
      </w:tr>
      <w:tr>
        <w:trPr>
          <w:trHeight w:val="316"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перемещением до 10 м бульдозерами мощностью: 79 кВт (108 л.с.), группа грунтов 1</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2"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Погрузочные работы при автомобильных перевозках: грунта растительного слоя (земля, перегной)</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499"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1.3</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груза(в карьер д. Сорочьи Кусты)</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26"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1.4</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7"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1.5</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15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22"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1.6</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 толщ 15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4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1.7</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324"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1.8</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88"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1.9</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с применением укладчиков асфальтобетона (средняя толщина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96"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1.10</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343"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1.12</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454"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1.13</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80"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1.2. Бортовые камни</w:t>
            </w:r>
          </w:p>
        </w:tc>
        <w:tc>
          <w:tcPr>
            <w:tcW w:w="35" w:type="dxa"/>
            <w:tcBorders/>
            <w:shd w:fill="auto" w:val="clear"/>
          </w:tcPr>
          <w:p>
            <w:pPr>
              <w:pStyle w:val="Normal"/>
              <w:rPr/>
            </w:pPr>
            <w:r>
              <w:rPr/>
            </w:r>
          </w:p>
        </w:tc>
      </w:tr>
      <w:tr>
        <w:trPr>
          <w:trHeight w:val="353"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погрузкой на автомобили-самосвалы экскаваторами с ковшом вместимостью: 0,5 (0,5-0,63) м3,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601"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1.2.2</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груза(в карьер д. Сорочьи Кусты)</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8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1.2.3</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419"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1.2.4</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511"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1.2.5</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1.2.6</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Установка бортовых камней бетонных.</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6"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1.2.7</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Засыпка вручную траншей, пазух котлованов и ям,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31"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2. Дорога 1.</w:t>
            </w:r>
          </w:p>
        </w:tc>
        <w:tc>
          <w:tcPr>
            <w:tcW w:w="35" w:type="dxa"/>
            <w:tcBorders/>
            <w:shd w:fill="auto" w:val="clear"/>
          </w:tcPr>
          <w:p>
            <w:pPr>
              <w:pStyle w:val="Normal"/>
              <w:rPr/>
            </w:pPr>
            <w:r>
              <w:rPr/>
            </w:r>
          </w:p>
        </w:tc>
      </w:tr>
      <w:tr>
        <w:trPr>
          <w:trHeight w:val="178"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23"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15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330"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2.3</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15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563"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2.4</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67"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2.5</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372"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2.6</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с применением укладчиков асфальтобетона (средняя толщина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510"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2.7</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43"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2.8</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94"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2.9</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381"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2.10</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26 км I класс груза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04"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3. МАФ.</w:t>
            </w:r>
          </w:p>
        </w:tc>
        <w:tc>
          <w:tcPr>
            <w:tcW w:w="35" w:type="dxa"/>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Рытье ям для установки стоек и столбов глубиной: 0,4 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3.2</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фундаментов-столбов: бетонных</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3.3</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Установка урны  ДХО 01060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255"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3.4</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Установка скамьи со спинкой МФ-03 </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65"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4. Светильники</w:t>
            </w:r>
          </w:p>
        </w:tc>
        <w:tc>
          <w:tcPr>
            <w:tcW w:w="35" w:type="dxa"/>
            <w:tcBorders/>
            <w:shd w:fill="auto" w:val="clear"/>
          </w:tcPr>
          <w:p>
            <w:pPr>
              <w:pStyle w:val="Normal"/>
              <w:rPr/>
            </w:pPr>
            <w:r>
              <w:rPr/>
            </w:r>
          </w:p>
        </w:tc>
      </w:tr>
      <w:tr>
        <w:trPr>
          <w:trHeight w:val="212"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Монтаж светильника ДКУ GALAD Победа LED-150 с кронштейном для установки на опору.</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r>
        <w:trPr>
          <w:trHeight w:val="176" w:hRule="atLeast"/>
        </w:trPr>
        <w:tc>
          <w:tcPr>
            <w:tcW w:w="10631"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5.Прочие работы.</w:t>
            </w:r>
          </w:p>
        </w:tc>
        <w:tc>
          <w:tcPr>
            <w:tcW w:w="35" w:type="dxa"/>
            <w:tcBorders/>
            <w:shd w:fill="auto" w:val="clear"/>
          </w:tcPr>
          <w:p>
            <w:pPr>
              <w:pStyle w:val="Normal"/>
              <w:rPr/>
            </w:pPr>
            <w:r>
              <w:rPr/>
            </w:r>
          </w:p>
        </w:tc>
      </w:tr>
      <w:tr>
        <w:trPr>
          <w:trHeight w:val="349" w:hRule="atLeast"/>
        </w:trPr>
        <w:tc>
          <w:tcPr>
            <w:tcW w:w="70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w:t>
            </w:r>
          </w:p>
        </w:tc>
        <w:tc>
          <w:tcPr>
            <w:tcW w:w="7371"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Корчевка пней вручную давностью рубки до трех лет: диаметром до 500 мм мягких пород</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c>
          <w:tcPr>
            <w:tcW w:w="36" w:type="dxa"/>
            <w:gridSpan w:val="2"/>
            <w:tcBorders/>
            <w:shd w:fill="auto" w:val="clear"/>
          </w:tcPr>
          <w:p>
            <w:pPr>
              <w:pStyle w:val="Normal"/>
              <w:rPr/>
            </w:pPr>
            <w:r>
              <w:rPr/>
            </w:r>
          </w:p>
        </w:tc>
      </w:tr>
    </w:tbl>
    <w:p>
      <w:pPr>
        <w:pStyle w:val="Normal"/>
        <w:jc w:val="center"/>
        <w:rPr>
          <w:b/>
          <w:b/>
          <w:sz w:val="22"/>
          <w:szCs w:val="22"/>
        </w:rPr>
      </w:pPr>
      <w:r>
        <w:rPr>
          <w:b/>
          <w:sz w:val="22"/>
          <w:szCs w:val="22"/>
        </w:rPr>
      </w:r>
    </w:p>
    <w:tbl>
      <w:tblPr>
        <w:tblW w:w="10658" w:type="dxa"/>
        <w:jc w:val="left"/>
        <w:tblInd w:w="0" w:type="dxa"/>
        <w:tblBorders/>
        <w:tblCellMar>
          <w:top w:w="0" w:type="dxa"/>
          <w:left w:w="108" w:type="dxa"/>
          <w:bottom w:w="0" w:type="dxa"/>
          <w:right w:w="108" w:type="dxa"/>
        </w:tblCellMar>
        <w:tblLook w:val="0000"/>
      </w:tblPr>
      <w:tblGrid>
        <w:gridCol w:w="5852"/>
        <w:gridCol w:w="4805"/>
      </w:tblGrid>
      <w:tr>
        <w:trPr>
          <w:trHeight w:val="278" w:hRule="atLeast"/>
        </w:trPr>
        <w:tc>
          <w:tcPr>
            <w:tcW w:w="585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805"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86" w:hRule="atLeast"/>
        </w:trPr>
        <w:tc>
          <w:tcPr>
            <w:tcW w:w="5852"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805"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№3</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w:t>
      </w:r>
      <w:r>
        <w:rPr>
          <w:b/>
          <w:color w:val="000000"/>
          <w:sz w:val="24"/>
          <w:szCs w:val="24"/>
        </w:rPr>
        <w:t>0154300014120000002-2/2020</w:t>
      </w:r>
      <w:r>
        <w:rPr>
          <w:b/>
          <w:sz w:val="22"/>
          <w:szCs w:val="22"/>
        </w:rPr>
        <w:t xml:space="preserve"> </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Техническое задание</w:t>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Ленина, д.20"</w:t>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улица  Ленина, д.20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улица  Ленина, д.20,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highlight w:val="yellow"/>
        </w:rPr>
      </w:pPr>
      <w:r>
        <w:rPr>
          <w:b/>
          <w:sz w:val="24"/>
          <w:szCs w:val="24"/>
          <w:highlight w:val="yellow"/>
        </w:rPr>
      </w:r>
    </w:p>
    <w:p>
      <w:pPr>
        <w:pStyle w:val="Normal"/>
        <w:jc w:val="both"/>
        <w:rPr/>
      </w:pPr>
      <w:r>
        <w:rPr>
          <w:b/>
          <w:sz w:val="24"/>
          <w:szCs w:val="24"/>
        </w:rPr>
        <w:t>Площадка для стоянки автомобилей</w:t>
      </w:r>
    </w:p>
    <w:tbl>
      <w:tblPr>
        <w:tblW w:w="10069" w:type="dxa"/>
        <w:jc w:val="left"/>
        <w:tblInd w:w="95" w:type="dxa"/>
        <w:tblBorders/>
        <w:tblCellMar>
          <w:top w:w="0" w:type="dxa"/>
          <w:left w:w="108" w:type="dxa"/>
          <w:bottom w:w="0" w:type="dxa"/>
          <w:right w:w="108" w:type="dxa"/>
        </w:tblCellMar>
        <w:tblLook w:val="04a0"/>
      </w:tblPr>
      <w:tblGrid>
        <w:gridCol w:w="10069"/>
      </w:tblGrid>
      <w:tr>
        <w:trPr>
          <w:trHeight w:val="291" w:hRule="atLeast"/>
        </w:trPr>
        <w:tc>
          <w:tcPr>
            <w:tcW w:w="10069"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507" w:hRule="atLeast"/>
        </w:trPr>
        <w:tc>
          <w:tcPr>
            <w:tcW w:w="10069"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303" w:hRule="atLeast"/>
        </w:trPr>
        <w:tc>
          <w:tcPr>
            <w:tcW w:w="10069"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79" w:hRule="atLeast"/>
        </w:trPr>
        <w:tc>
          <w:tcPr>
            <w:tcW w:w="10069" w:type="dxa"/>
            <w:tcBorders/>
            <w:shd w:fill="auto" w:val="clear"/>
          </w:tcPr>
          <w:p>
            <w:pPr>
              <w:pStyle w:val="Normal"/>
              <w:rPr>
                <w:sz w:val="24"/>
                <w:szCs w:val="24"/>
              </w:rPr>
            </w:pPr>
            <w:r>
              <w:rPr>
                <w:sz w:val="24"/>
                <w:szCs w:val="24"/>
              </w:rPr>
              <w:t>Планировка площадей бульдозерами мощностью,</w:t>
            </w:r>
          </w:p>
        </w:tc>
      </w:tr>
      <w:tr>
        <w:trPr>
          <w:trHeight w:val="284" w:hRule="atLeast"/>
        </w:trPr>
        <w:tc>
          <w:tcPr>
            <w:tcW w:w="10069"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 см),</w:t>
            </w:r>
          </w:p>
        </w:tc>
      </w:tr>
      <w:tr>
        <w:trPr>
          <w:trHeight w:val="287" w:hRule="atLeast"/>
        </w:trPr>
        <w:tc>
          <w:tcPr>
            <w:tcW w:w="10069" w:type="dxa"/>
            <w:tcBorders/>
            <w:shd w:fill="auto" w:val="clear"/>
          </w:tcPr>
          <w:p>
            <w:pPr>
              <w:pStyle w:val="Normal"/>
              <w:rPr>
                <w:sz w:val="24"/>
                <w:szCs w:val="24"/>
              </w:rPr>
            </w:pPr>
            <w:r>
              <w:rPr>
                <w:sz w:val="24"/>
                <w:szCs w:val="24"/>
              </w:rPr>
              <w:t>Устройство подстилающих и выравнивающих слоев оснований: из щебня ( толщ 15 см.),</w:t>
            </w:r>
          </w:p>
        </w:tc>
      </w:tr>
      <w:tr>
        <w:trPr>
          <w:trHeight w:val="278" w:hRule="atLeast"/>
        </w:trPr>
        <w:tc>
          <w:tcPr>
            <w:tcW w:w="10069"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1" w:hRule="atLeast"/>
        </w:trPr>
        <w:tc>
          <w:tcPr>
            <w:tcW w:w="10069"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568" w:hRule="atLeast"/>
        </w:trPr>
        <w:tc>
          <w:tcPr>
            <w:tcW w:w="10069"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(средняя толщина 3 см.),</w:t>
            </w:r>
          </w:p>
        </w:tc>
      </w:tr>
      <w:tr>
        <w:trPr>
          <w:trHeight w:val="293" w:hRule="atLeast"/>
        </w:trPr>
        <w:tc>
          <w:tcPr>
            <w:tcW w:w="10069"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69" w:hRule="atLeast"/>
        </w:trPr>
        <w:tc>
          <w:tcPr>
            <w:tcW w:w="10069"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3" w:hRule="atLeast"/>
        </w:trPr>
        <w:tc>
          <w:tcPr>
            <w:tcW w:w="10069" w:type="dxa"/>
            <w:tcBorders/>
            <w:shd w:fill="auto" w:val="clear"/>
          </w:tcPr>
          <w:p>
            <w:pPr>
              <w:pStyle w:val="Normal"/>
              <w:rPr>
                <w:sz w:val="24"/>
                <w:szCs w:val="24"/>
              </w:rPr>
            </w:pPr>
            <w:r>
              <w:rPr>
                <w:sz w:val="24"/>
                <w:szCs w:val="24"/>
              </w:rPr>
              <w:t>Укрепление обочин щебнем толщиной 10 см</w:t>
            </w:r>
          </w:p>
        </w:tc>
      </w:tr>
      <w:tr>
        <w:trPr>
          <w:trHeight w:val="291" w:hRule="atLeast"/>
        </w:trPr>
        <w:tc>
          <w:tcPr>
            <w:tcW w:w="10069"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bl>
    <w:p>
      <w:pPr>
        <w:pStyle w:val="Normal"/>
        <w:ind w:left="360" w:hanging="0"/>
        <w:jc w:val="both"/>
        <w:rPr>
          <w:highlight w:val="yellow"/>
        </w:rPr>
      </w:pPr>
      <w:r>
        <w:rPr>
          <w:highlight w:val="yellow"/>
        </w:rPr>
      </w:r>
    </w:p>
    <w:p>
      <w:pPr>
        <w:pStyle w:val="Normal"/>
        <w:jc w:val="both"/>
        <w:rPr>
          <w:b/>
          <w:b/>
          <w:sz w:val="24"/>
          <w:szCs w:val="24"/>
          <w:highlight w:val="yellow"/>
        </w:rPr>
      </w:pPr>
      <w:r>
        <w:rPr>
          <w:b/>
          <w:sz w:val="24"/>
          <w:szCs w:val="24"/>
        </w:rPr>
        <w:t>Бортовые камни</w:t>
      </w:r>
    </w:p>
    <w:tbl>
      <w:tblPr>
        <w:tblW w:w="10144" w:type="dxa"/>
        <w:jc w:val="left"/>
        <w:tblInd w:w="95" w:type="dxa"/>
        <w:tblBorders/>
        <w:tblCellMar>
          <w:top w:w="0" w:type="dxa"/>
          <w:left w:w="108" w:type="dxa"/>
          <w:bottom w:w="0" w:type="dxa"/>
          <w:right w:w="108" w:type="dxa"/>
        </w:tblCellMar>
        <w:tblLook w:val="04a0"/>
      </w:tblPr>
      <w:tblGrid>
        <w:gridCol w:w="10144"/>
      </w:tblGrid>
      <w:tr>
        <w:trPr>
          <w:trHeight w:val="345" w:hRule="atLeast"/>
        </w:trPr>
        <w:tc>
          <w:tcPr>
            <w:tcW w:w="10144" w:type="dxa"/>
            <w:tcBorders/>
            <w:shd w:fill="auto" w:val="clear"/>
          </w:tcPr>
          <w:p>
            <w:pPr>
              <w:pStyle w:val="Normal"/>
              <w:rPr>
                <w:sz w:val="24"/>
                <w:szCs w:val="24"/>
              </w:rPr>
            </w:pPr>
            <w:r>
              <w:rPr>
                <w:sz w:val="24"/>
                <w:szCs w:val="24"/>
              </w:rPr>
              <w:t>Разработка грунта с погрузкой на автомобили-самосвалы экскаваторами,</w:t>
            </w:r>
          </w:p>
        </w:tc>
      </w:tr>
      <w:tr>
        <w:trPr>
          <w:trHeight w:val="279" w:hRule="atLeast"/>
        </w:trPr>
        <w:tc>
          <w:tcPr>
            <w:tcW w:w="10144"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3" w:hRule="atLeast"/>
        </w:trPr>
        <w:tc>
          <w:tcPr>
            <w:tcW w:w="10144"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100 мм.)</w:t>
            </w:r>
          </w:p>
        </w:tc>
      </w:tr>
      <w:tr>
        <w:trPr>
          <w:trHeight w:val="287" w:hRule="atLeast"/>
        </w:trPr>
        <w:tc>
          <w:tcPr>
            <w:tcW w:w="10144"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100 мм.)</w:t>
            </w:r>
          </w:p>
        </w:tc>
      </w:tr>
      <w:tr>
        <w:trPr>
          <w:trHeight w:val="278" w:hRule="atLeast"/>
        </w:trPr>
        <w:tc>
          <w:tcPr>
            <w:tcW w:w="10144"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47" w:hRule="atLeast"/>
        </w:trPr>
        <w:tc>
          <w:tcPr>
            <w:tcW w:w="10144" w:type="dxa"/>
            <w:tcBorders/>
            <w:shd w:fill="auto" w:val="clear"/>
          </w:tcPr>
          <w:p>
            <w:pPr>
              <w:pStyle w:val="Normal"/>
              <w:rPr>
                <w:sz w:val="24"/>
                <w:szCs w:val="24"/>
              </w:rPr>
            </w:pPr>
            <w:r>
              <w:rPr>
                <w:sz w:val="24"/>
                <w:szCs w:val="24"/>
              </w:rPr>
              <w:t>Установка бортовых камней бетонных.</w:t>
            </w:r>
          </w:p>
        </w:tc>
      </w:tr>
      <w:tr>
        <w:trPr>
          <w:trHeight w:val="493" w:hRule="atLeast"/>
        </w:trPr>
        <w:tc>
          <w:tcPr>
            <w:tcW w:w="10144" w:type="dxa"/>
            <w:tcBorders/>
            <w:shd w:fill="auto" w:val="clear"/>
          </w:tcPr>
          <w:p>
            <w:pPr>
              <w:pStyle w:val="Normal"/>
              <w:rPr>
                <w:sz w:val="24"/>
                <w:szCs w:val="24"/>
              </w:rPr>
            </w:pPr>
            <w:r>
              <w:rPr>
                <w:sz w:val="24"/>
                <w:szCs w:val="24"/>
              </w:rPr>
              <w:t xml:space="preserve">Засыпка вручную траншей, пазух котлованов и ям, </w:t>
            </w:r>
          </w:p>
        </w:tc>
      </w:tr>
    </w:tbl>
    <w:p>
      <w:pPr>
        <w:pStyle w:val="Normal"/>
        <w:jc w:val="both"/>
        <w:rPr>
          <w:b/>
          <w:b/>
          <w:sz w:val="24"/>
          <w:szCs w:val="24"/>
        </w:rPr>
      </w:pPr>
      <w:r>
        <w:rPr>
          <w:b/>
          <w:sz w:val="24"/>
          <w:szCs w:val="24"/>
        </w:rPr>
      </w:r>
    </w:p>
    <w:p>
      <w:pPr>
        <w:pStyle w:val="Normal"/>
        <w:jc w:val="both"/>
        <w:rPr>
          <w:sz w:val="24"/>
          <w:szCs w:val="24"/>
          <w:highlight w:val="yellow"/>
        </w:rPr>
      </w:pPr>
      <w:r>
        <w:rPr>
          <w:b/>
          <w:sz w:val="24"/>
          <w:szCs w:val="24"/>
        </w:rPr>
        <w:t>Дорога</w:t>
      </w:r>
    </w:p>
    <w:tbl>
      <w:tblPr>
        <w:tblW w:w="10106" w:type="dxa"/>
        <w:jc w:val="left"/>
        <w:tblInd w:w="95" w:type="dxa"/>
        <w:tblBorders/>
        <w:tblCellMar>
          <w:top w:w="0" w:type="dxa"/>
          <w:left w:w="108" w:type="dxa"/>
          <w:bottom w:w="0" w:type="dxa"/>
          <w:right w:w="108" w:type="dxa"/>
        </w:tblCellMar>
        <w:tblLook w:val="04a0"/>
      </w:tblPr>
      <w:tblGrid>
        <w:gridCol w:w="10106"/>
      </w:tblGrid>
      <w:tr>
        <w:trPr>
          <w:trHeight w:val="243" w:hRule="atLeast"/>
        </w:trPr>
        <w:tc>
          <w:tcPr>
            <w:tcW w:w="10106" w:type="dxa"/>
            <w:tcBorders/>
            <w:shd w:fill="auto" w:val="clear"/>
          </w:tcPr>
          <w:p>
            <w:pPr>
              <w:pStyle w:val="Normal"/>
              <w:rPr>
                <w:sz w:val="24"/>
                <w:szCs w:val="24"/>
              </w:rPr>
            </w:pPr>
            <w:r>
              <w:rPr>
                <w:sz w:val="24"/>
                <w:szCs w:val="24"/>
              </w:rPr>
              <w:t>Планировка площадей бульдозерами,</w:t>
            </w:r>
          </w:p>
        </w:tc>
      </w:tr>
      <w:tr>
        <w:trPr>
          <w:trHeight w:val="248" w:hRule="atLeast"/>
        </w:trPr>
        <w:tc>
          <w:tcPr>
            <w:tcW w:w="10106"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 см.),</w:t>
            </w:r>
          </w:p>
        </w:tc>
      </w:tr>
      <w:tr>
        <w:trPr>
          <w:trHeight w:val="251" w:hRule="atLeast"/>
        </w:trPr>
        <w:tc>
          <w:tcPr>
            <w:tcW w:w="10106"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 см.),</w:t>
            </w:r>
          </w:p>
        </w:tc>
      </w:tr>
      <w:tr>
        <w:trPr>
          <w:trHeight w:val="290" w:hRule="atLeast"/>
        </w:trPr>
        <w:tc>
          <w:tcPr>
            <w:tcW w:w="10106"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90" w:hRule="atLeast"/>
        </w:trPr>
        <w:tc>
          <w:tcPr>
            <w:tcW w:w="10106"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564" w:hRule="atLeast"/>
        </w:trPr>
        <w:tc>
          <w:tcPr>
            <w:tcW w:w="10106"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(средняя толщина 3 см.),</w:t>
            </w:r>
          </w:p>
        </w:tc>
      </w:tr>
      <w:tr>
        <w:trPr>
          <w:trHeight w:val="288" w:hRule="atLeast"/>
        </w:trPr>
        <w:tc>
          <w:tcPr>
            <w:tcW w:w="10106"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78" w:hRule="atLeast"/>
        </w:trPr>
        <w:tc>
          <w:tcPr>
            <w:tcW w:w="10106" w:type="dxa"/>
            <w:tcBorders/>
            <w:shd w:fill="auto" w:val="clear"/>
          </w:tcPr>
          <w:p>
            <w:pPr>
              <w:pStyle w:val="Normal"/>
              <w:rPr>
                <w:sz w:val="24"/>
                <w:szCs w:val="24"/>
              </w:rPr>
            </w:pPr>
            <w:r>
              <w:rPr>
                <w:sz w:val="24"/>
                <w:szCs w:val="24"/>
              </w:rPr>
              <w:t xml:space="preserve">Восстановление покрытия толщиной 5 см из горячих асфальтобетонных смесей, </w:t>
            </w:r>
          </w:p>
        </w:tc>
      </w:tr>
      <w:tr>
        <w:trPr>
          <w:trHeight w:val="281" w:hRule="atLeast"/>
        </w:trPr>
        <w:tc>
          <w:tcPr>
            <w:tcW w:w="10106" w:type="dxa"/>
            <w:tcBorders/>
            <w:shd w:fill="auto" w:val="clear"/>
          </w:tcPr>
          <w:p>
            <w:pPr>
              <w:pStyle w:val="Normal"/>
              <w:rPr>
                <w:sz w:val="24"/>
                <w:szCs w:val="24"/>
              </w:rPr>
            </w:pPr>
            <w:r>
              <w:rPr>
                <w:sz w:val="24"/>
                <w:szCs w:val="24"/>
              </w:rPr>
              <w:t>Укрепление обочин щебнем толщиной 10 см,</w:t>
            </w:r>
          </w:p>
        </w:tc>
      </w:tr>
      <w:tr>
        <w:trPr>
          <w:trHeight w:val="285" w:hRule="atLeast"/>
        </w:trPr>
        <w:tc>
          <w:tcPr>
            <w:tcW w:w="10106" w:type="dxa"/>
            <w:tcBorders/>
            <w:shd w:fill="auto" w:val="clear"/>
          </w:tcPr>
          <w:p>
            <w:pPr>
              <w:pStyle w:val="Normal"/>
              <w:rPr>
                <w:sz w:val="24"/>
                <w:szCs w:val="24"/>
              </w:rPr>
            </w:pPr>
            <w:r>
              <w:rPr>
                <w:sz w:val="24"/>
                <w:szCs w:val="24"/>
              </w:rPr>
              <w:t>Перевозка грузов автомобилями-самосвалами грузоподъемностью 10 т.,</w:t>
            </w:r>
          </w:p>
        </w:tc>
      </w:tr>
    </w:tbl>
    <w:p>
      <w:pPr>
        <w:pStyle w:val="Normal"/>
        <w:jc w:val="both"/>
        <w:rPr>
          <w:sz w:val="24"/>
          <w:szCs w:val="24"/>
          <w:highlight w:val="yellow"/>
        </w:rPr>
      </w:pPr>
      <w:r>
        <w:rPr>
          <w:sz w:val="24"/>
          <w:szCs w:val="24"/>
          <w:highlight w:val="yellow"/>
        </w:rPr>
      </w:r>
    </w:p>
    <w:p>
      <w:pPr>
        <w:pStyle w:val="Normal"/>
        <w:jc w:val="both"/>
        <w:rPr>
          <w:b/>
          <w:b/>
          <w:sz w:val="24"/>
          <w:szCs w:val="24"/>
          <w:highlight w:val="yellow"/>
        </w:rPr>
      </w:pPr>
      <w:r>
        <w:rPr>
          <w:b/>
          <w:sz w:val="24"/>
          <w:szCs w:val="24"/>
        </w:rPr>
        <w:t>МАФ</w:t>
      </w:r>
    </w:p>
    <w:tbl>
      <w:tblPr>
        <w:tblW w:w="10132" w:type="dxa"/>
        <w:jc w:val="left"/>
        <w:tblInd w:w="95" w:type="dxa"/>
        <w:tblBorders/>
        <w:tblCellMar>
          <w:top w:w="0" w:type="dxa"/>
          <w:left w:w="108" w:type="dxa"/>
          <w:bottom w:w="0" w:type="dxa"/>
          <w:right w:w="108" w:type="dxa"/>
        </w:tblCellMar>
        <w:tblLook w:val="04a0"/>
      </w:tblPr>
      <w:tblGrid>
        <w:gridCol w:w="10132"/>
      </w:tblGrid>
      <w:tr>
        <w:trPr>
          <w:trHeight w:val="281" w:hRule="atLeast"/>
        </w:trPr>
        <w:tc>
          <w:tcPr>
            <w:tcW w:w="10132"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281" w:hRule="atLeast"/>
        </w:trPr>
        <w:tc>
          <w:tcPr>
            <w:tcW w:w="10132" w:type="dxa"/>
            <w:tcBorders/>
            <w:shd w:fill="auto" w:val="clear"/>
          </w:tcPr>
          <w:p>
            <w:pPr>
              <w:pStyle w:val="Normal"/>
              <w:rPr>
                <w:sz w:val="24"/>
                <w:szCs w:val="24"/>
              </w:rPr>
            </w:pPr>
            <w:r>
              <w:rPr>
                <w:sz w:val="24"/>
                <w:szCs w:val="24"/>
              </w:rPr>
              <w:t>Устройство фундаментов-столбов: бетонных,</w:t>
            </w:r>
          </w:p>
        </w:tc>
      </w:tr>
      <w:tr>
        <w:trPr>
          <w:trHeight w:val="281" w:hRule="atLeast"/>
        </w:trPr>
        <w:tc>
          <w:tcPr>
            <w:tcW w:w="10132" w:type="dxa"/>
            <w:tcBorders/>
            <w:shd w:fill="auto" w:val="clear"/>
          </w:tcPr>
          <w:p>
            <w:pPr>
              <w:pStyle w:val="Normal"/>
              <w:rPr>
                <w:sz w:val="24"/>
                <w:szCs w:val="24"/>
              </w:rPr>
            </w:pPr>
            <w:r>
              <w:rPr>
                <w:sz w:val="24"/>
                <w:szCs w:val="24"/>
              </w:rPr>
              <w:t xml:space="preserve">Установка урны,  </w:t>
            </w:r>
          </w:p>
        </w:tc>
      </w:tr>
      <w:tr>
        <w:trPr>
          <w:trHeight w:val="281" w:hRule="atLeast"/>
        </w:trPr>
        <w:tc>
          <w:tcPr>
            <w:tcW w:w="10132" w:type="dxa"/>
            <w:tcBorders/>
            <w:shd w:fill="auto" w:val="clear"/>
          </w:tcPr>
          <w:p>
            <w:pPr>
              <w:pStyle w:val="Normal"/>
              <w:rPr>
                <w:sz w:val="24"/>
                <w:szCs w:val="24"/>
              </w:rPr>
            </w:pPr>
            <w:r>
              <w:rPr>
                <w:sz w:val="24"/>
                <w:szCs w:val="24"/>
              </w:rPr>
              <w:t>Установка скамьи со спинкой.</w:t>
            </w:r>
          </w:p>
        </w:tc>
      </w:tr>
    </w:tbl>
    <w:p>
      <w:pPr>
        <w:pStyle w:val="Normal"/>
        <w:jc w:val="both"/>
        <w:rPr>
          <w:sz w:val="24"/>
          <w:szCs w:val="24"/>
        </w:rPr>
      </w:pPr>
      <w:r>
        <w:rPr>
          <w:sz w:val="24"/>
          <w:szCs w:val="24"/>
        </w:rPr>
      </w:r>
    </w:p>
    <w:p>
      <w:pPr>
        <w:pStyle w:val="Normal"/>
        <w:jc w:val="both"/>
        <w:rPr>
          <w:b/>
          <w:b/>
          <w:sz w:val="24"/>
          <w:szCs w:val="24"/>
          <w:highlight w:val="yellow"/>
        </w:rPr>
      </w:pPr>
      <w:r>
        <w:rPr>
          <w:b/>
          <w:sz w:val="24"/>
          <w:szCs w:val="24"/>
        </w:rPr>
        <w:t>Светильники</w:t>
      </w:r>
    </w:p>
    <w:p>
      <w:pPr>
        <w:pStyle w:val="Normal"/>
        <w:jc w:val="both"/>
        <w:rPr>
          <w:sz w:val="24"/>
          <w:szCs w:val="24"/>
        </w:rPr>
      </w:pPr>
      <w:r>
        <w:rPr>
          <w:sz w:val="24"/>
          <w:szCs w:val="24"/>
        </w:rPr>
        <w:t>Монтаж светильника с кронштейном</w:t>
      </w:r>
    </w:p>
    <w:p>
      <w:pPr>
        <w:pStyle w:val="Normal"/>
        <w:jc w:val="both"/>
        <w:rPr>
          <w:sz w:val="24"/>
          <w:szCs w:val="24"/>
        </w:rPr>
      </w:pPr>
      <w:r>
        <w:rPr>
          <w:sz w:val="24"/>
          <w:szCs w:val="24"/>
        </w:rPr>
      </w:r>
    </w:p>
    <w:p>
      <w:pPr>
        <w:pStyle w:val="Normal"/>
        <w:jc w:val="both"/>
        <w:rPr>
          <w:sz w:val="24"/>
          <w:szCs w:val="24"/>
          <w:highlight w:val="yellow"/>
        </w:rPr>
      </w:pPr>
      <w:r>
        <w:rPr>
          <w:b/>
          <w:sz w:val="24"/>
          <w:szCs w:val="24"/>
        </w:rPr>
        <w:t>Прочие работы</w:t>
      </w:r>
    </w:p>
    <w:p>
      <w:pPr>
        <w:pStyle w:val="Normal"/>
        <w:jc w:val="both"/>
        <w:rPr>
          <w:sz w:val="24"/>
          <w:szCs w:val="24"/>
          <w:highlight w:val="yellow"/>
        </w:rPr>
      </w:pPr>
      <w:r>
        <w:rPr>
          <w:sz w:val="24"/>
          <w:szCs w:val="24"/>
        </w:rPr>
        <w:t>Корчевка пней вручную давностью рубки до трех лет: диаметром до 500 мм мягких пород</w:t>
      </w:r>
    </w:p>
    <w:p>
      <w:pPr>
        <w:pStyle w:val="Normal"/>
        <w:jc w:val="both"/>
        <w:rPr>
          <w:sz w:val="24"/>
          <w:szCs w:val="24"/>
          <w:highlight w:val="yellow"/>
        </w:rPr>
      </w:pPr>
      <w:r>
        <w:rPr>
          <w:sz w:val="24"/>
          <w:szCs w:val="24"/>
          <w:highlight w:val="yellow"/>
        </w:rPr>
      </w:r>
    </w:p>
    <w:p>
      <w:pPr>
        <w:pStyle w:val="Normal"/>
        <w:ind w:right="-149" w:hanging="0"/>
        <w:jc w:val="both"/>
        <w:rPr>
          <w:sz w:val="24"/>
          <w:szCs w:val="24"/>
        </w:rPr>
      </w:pPr>
      <w:r>
        <w:rPr>
          <w:sz w:val="24"/>
          <w:szCs w:val="24"/>
        </w:rPr>
        <w:tab/>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t>Срок выполнения работ: с 20.04.2020 года по 10 июля 2020 года.</w:t>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товара</w:t>
      </w:r>
    </w:p>
    <w:p>
      <w:pPr>
        <w:pStyle w:val="Normal"/>
        <w:widowControl w:val="false"/>
        <w:jc w:val="right"/>
        <w:rPr>
          <w:sz w:val="24"/>
          <w:szCs w:val="24"/>
        </w:rPr>
      </w:pPr>
      <w:r>
        <w:rPr>
          <w:sz w:val="24"/>
          <w:szCs w:val="24"/>
        </w:rPr>
        <w:t>Приложение 1</w:t>
      </w:r>
    </w:p>
    <w:p>
      <w:pPr>
        <w:pStyle w:val="Normal"/>
        <w:widowControl w:val="false"/>
        <w:jc w:val="right"/>
        <w:rPr>
          <w:sz w:val="24"/>
          <w:szCs w:val="24"/>
        </w:rPr>
      </w:pPr>
      <w:r>
        <w:rPr>
          <w:sz w:val="24"/>
          <w:szCs w:val="24"/>
        </w:rPr>
        <w:t>к техническому заданию</w:t>
      </w:r>
    </w:p>
    <w:p>
      <w:pPr>
        <w:pStyle w:val="Normal"/>
        <w:widowControl w:val="false"/>
        <w:jc w:val="center"/>
        <w:rPr>
          <w:sz w:val="24"/>
          <w:szCs w:val="24"/>
        </w:rPr>
      </w:pPr>
      <w:r>
        <w:rPr>
          <w:sz w:val="24"/>
          <w:szCs w:val="24"/>
        </w:rPr>
        <w:t>Спецификация</w:t>
      </w:r>
    </w:p>
    <w:p>
      <w:pPr>
        <w:pStyle w:val="Normal"/>
        <w:widowControl w:val="false"/>
        <w:suppressAutoHyphens w:val="true"/>
        <w:jc w:val="center"/>
        <w:rPr>
          <w:bCs/>
          <w:sz w:val="24"/>
          <w:szCs w:val="24"/>
          <w:lang w:eastAsia="ar-SA"/>
        </w:rPr>
      </w:pPr>
      <w:r>
        <w:rPr>
          <w:sz w:val="24"/>
          <w:szCs w:val="24"/>
          <w:lang w:eastAsia="ar-SA"/>
        </w:rPr>
        <w:t xml:space="preserve">технических и качественных характеристик </w:t>
      </w:r>
      <w:r>
        <w:rPr>
          <w:bCs/>
          <w:sz w:val="24"/>
          <w:szCs w:val="24"/>
          <w:lang w:eastAsia="ar-SA"/>
        </w:rPr>
        <w:t xml:space="preserve">товара (материала) </w:t>
      </w:r>
    </w:p>
    <w:p>
      <w:pPr>
        <w:pStyle w:val="Normal"/>
        <w:widowControl w:val="false"/>
        <w:suppressAutoHyphens w:val="true"/>
        <w:jc w:val="center"/>
        <w:rPr>
          <w:bCs/>
          <w:sz w:val="24"/>
          <w:szCs w:val="24"/>
          <w:lang w:eastAsia="ar-SA"/>
        </w:rPr>
      </w:pPr>
      <w:r>
        <w:rPr>
          <w:bCs/>
          <w:sz w:val="24"/>
          <w:szCs w:val="24"/>
          <w:lang w:eastAsia="ar-SA"/>
        </w:rPr>
        <w:t>используемого при выполнении работ:</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899"/>
        <w:gridCol w:w="2956"/>
        <w:gridCol w:w="3435"/>
        <w:gridCol w:w="2984"/>
      </w:tblGrid>
      <w:tr>
        <w:trPr>
          <w:trHeight w:val="20" w:hRule="atLeast"/>
        </w:trPr>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sz w:val="22"/>
                <w:szCs w:val="22"/>
                <w:lang w:eastAsia="en-US"/>
              </w:rPr>
            </w:pPr>
            <w:r>
              <w:rPr/>
              <w:tab/>
              <w:tab/>
            </w:r>
            <w:r>
              <w:rPr>
                <w:rFonts w:eastAsia="Calibri"/>
                <w:b/>
                <w:sz w:val="22"/>
                <w:szCs w:val="22"/>
                <w:lang w:eastAsia="en-US"/>
              </w:rPr>
              <w:t>№</w:t>
            </w:r>
          </w:p>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п/п</w:t>
            </w:r>
          </w:p>
        </w:tc>
        <w:tc>
          <w:tcPr>
            <w:tcW w:w="29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товара</w:t>
            </w:r>
          </w:p>
          <w:p>
            <w:pPr>
              <w:pStyle w:val="Normal"/>
              <w:shd w:val="clear" w:color="auto" w:fill="FFFFFF"/>
              <w:jc w:val="center"/>
              <w:rPr>
                <w:rFonts w:eastAsia="Calibri"/>
                <w:b/>
                <w:b/>
                <w:sz w:val="22"/>
                <w:szCs w:val="22"/>
                <w:lang w:eastAsia="en-US"/>
              </w:rPr>
            </w:pPr>
            <w:r>
              <w:rPr>
                <w:rFonts w:eastAsia="Calibri"/>
                <w:b/>
                <w:sz w:val="22"/>
                <w:szCs w:val="22"/>
                <w:lang w:eastAsia="en-US"/>
              </w:rPr>
              <w:t>(материала)</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показателей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Значения показателей</w:t>
            </w:r>
          </w:p>
        </w:tc>
      </w:tr>
      <w:tr>
        <w:trPr>
          <w:trHeight w:val="152"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1</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sz w:val="22"/>
                <w:szCs w:val="22"/>
                <w:lang w:eastAsia="en-US"/>
              </w:rPr>
              <w:t>Асфальтобетонная смесь</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2"/>
                <w:szCs w:val="22"/>
                <w:lang w:eastAsia="en-US"/>
              </w:rPr>
            </w:pPr>
            <w:r>
              <w:rPr>
                <w:sz w:val="22"/>
                <w:szCs w:val="22"/>
                <w:lang w:eastAsia="en-US"/>
              </w:rPr>
              <w:t>м</w:t>
            </w:r>
            <w:r>
              <w:rPr>
                <w:color w:val="000000"/>
                <w:sz w:val="22"/>
                <w:szCs w:val="22"/>
              </w:rPr>
              <w:t>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2"/>
                <w:szCs w:val="22"/>
                <w:lang w:eastAsia="en-US"/>
              </w:rPr>
            </w:pPr>
            <w:r>
              <w:rPr>
                <w:color w:val="000000"/>
                <w:sz w:val="22"/>
                <w:szCs w:val="22"/>
              </w:rPr>
              <w:t>II</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тип</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Выдерживание испытание на сцепление битумов с поверхностью минеральной части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Однородность смеси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2</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val="en-US" w:eastAsia="en-US"/>
              </w:rPr>
              <w:t>20 - 40</w:t>
            </w:r>
            <w:r>
              <w:rPr>
                <w:rFonts w:eastAsia="Calibri"/>
                <w:spacing w:val="2"/>
                <w:sz w:val="22"/>
                <w:szCs w:val="22"/>
                <w:shd w:fill="FFFFFF" w:val="clear"/>
                <w:lang w:eastAsia="en-US"/>
              </w:rPr>
              <w:t xml:space="preserve"> мм</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3</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60/90</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61 до 90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4</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90/130</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91 до 130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5</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 xml:space="preserve">Камни бортовые </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sz w:val="22"/>
                <w:szCs w:val="22"/>
                <w:highlight w:val="white"/>
                <w:lang w:eastAsia="en-US"/>
              </w:rPr>
            </w:pPr>
            <w:r>
              <w:rPr>
                <w:rFonts w:eastAsia="Calibri"/>
                <w:sz w:val="22"/>
                <w:szCs w:val="22"/>
              </w:rPr>
              <w:t>Длина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100 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rFonts w:eastAsia="Calibri"/>
                <w:sz w:val="22"/>
                <w:szCs w:val="22"/>
              </w:rPr>
              <w:t xml:space="preserve">Ширина </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2"/>
                <w:szCs w:val="22"/>
              </w:rPr>
            </w:pPr>
            <w:r>
              <w:rPr>
                <w:rFonts w:eastAsia="Calibri"/>
                <w:sz w:val="22"/>
                <w:szCs w:val="22"/>
              </w:rPr>
              <w:t>15см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rFonts w:eastAsia="Calibri"/>
                <w:sz w:val="22"/>
                <w:szCs w:val="22"/>
              </w:rPr>
              <w:t>Высота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2"/>
                <w:szCs w:val="22"/>
              </w:rPr>
            </w:pPr>
            <w:r>
              <w:rPr>
                <w:rFonts w:eastAsia="Calibri"/>
                <w:sz w:val="22"/>
                <w:szCs w:val="22"/>
              </w:rPr>
              <w:t>30 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sz w:val="22"/>
                <w:szCs w:val="22"/>
                <w:highlight w:val="white"/>
                <w:lang w:eastAsia="en-US"/>
              </w:rPr>
            </w:pPr>
            <w:r>
              <w:rPr>
                <w:rFonts w:eastAsia="Calibri"/>
                <w:sz w:val="22"/>
                <w:szCs w:val="22"/>
              </w:rPr>
              <w:t>Класс бетона по прочности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В 30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6</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Бетон</w:t>
            </w:r>
          </w:p>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Класс бетона,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В 15</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Марка по водонепроницаемости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W 6</w:t>
            </w:r>
          </w:p>
          <w:p>
            <w:pPr>
              <w:pStyle w:val="Normal"/>
              <w:jc w:val="center"/>
              <w:rPr>
                <w:rFonts w:eastAsia="Calibri"/>
                <w:sz w:val="22"/>
                <w:szCs w:val="22"/>
                <w:lang w:eastAsia="en-US"/>
              </w:rPr>
            </w:pPr>
            <w:r>
              <w:rPr>
                <w:rFonts w:eastAsia="Calibri"/>
                <w:sz w:val="22"/>
                <w:szCs w:val="22"/>
                <w:lang w:eastAsia="en-US"/>
              </w:rPr>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Марка по морозостойкости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F 200</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7</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color w:val="000000"/>
                <w:sz w:val="22"/>
                <w:szCs w:val="22"/>
                <w:lang w:eastAsia="en-US"/>
              </w:rPr>
              <w:t>Песок природный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eastAsia="en-US"/>
              </w:rPr>
              <w:t>Класс песка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val="en-US" w:eastAsia="en-US"/>
              </w:rPr>
              <w:t>II</w:t>
            </w:r>
            <w:r>
              <w:rPr>
                <w:rFonts w:eastAsia="Calibri"/>
                <w:color w:val="000000"/>
                <w:sz w:val="22"/>
                <w:szCs w:val="22"/>
                <w:lang w:eastAsia="en-US"/>
              </w:rPr>
              <w:t xml:space="preserve"> класс</w:t>
            </w:r>
          </w:p>
        </w:tc>
      </w:tr>
      <w:tr>
        <w:trPr>
          <w:trHeight w:val="457"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sz w:val="22"/>
                <w:szCs w:val="22"/>
                <w:lang w:eastAsia="en-US"/>
              </w:rPr>
            </w:pPr>
            <w:r>
              <w:rPr>
                <w:rFonts w:eastAsia="Calibri"/>
                <w:spacing w:val="2"/>
                <w:sz w:val="22"/>
                <w:szCs w:val="22"/>
                <w:shd w:fill="FFFFFF" w:val="clear"/>
                <w:lang w:eastAsia="en-US"/>
              </w:rPr>
              <w:t>Содержание посторонних засоряющих примесей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8</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p>
            <w:pPr>
              <w:pStyle w:val="Normal"/>
              <w:shd w:val="clear" w:color="auto" w:fill="FFFFFF"/>
              <w:jc w:val="center"/>
              <w:rPr>
                <w:rFonts w:eastAsia="Calibri"/>
                <w:sz w:val="22"/>
                <w:szCs w:val="22"/>
                <w:lang w:eastAsia="en-US"/>
              </w:rPr>
            </w:pPr>
            <w:r>
              <w:rPr>
                <w:rFonts w:eastAsia="Calibri"/>
                <w:sz w:val="22"/>
                <w:szCs w:val="22"/>
                <w:lang w:eastAsia="en-US"/>
              </w:rPr>
              <w:t>Скамейка металлическая со спинкой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Длина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2000мм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Ширина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600мм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Высота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890мм</w:t>
            </w:r>
          </w:p>
        </w:tc>
      </w:tr>
    </w:tbl>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sectPr>
          <w:type w:val="nextPage"/>
          <w:pgSz w:w="11906" w:h="16838"/>
          <w:pgMar w:left="993" w:right="638" w:header="0" w:top="825" w:footer="0" w:bottom="475" w:gutter="0"/>
          <w:pgNumType w:fmt="decimal"/>
          <w:formProt w:val="false"/>
          <w:textDirection w:val="lrTb"/>
          <w:docGrid w:type="default" w:linePitch="360" w:charSpace="0"/>
        </w:sect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№4</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0154300014120000002-2/2020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Локальная смета</w:t>
      </w:r>
    </w:p>
    <w:p>
      <w:pPr>
        <w:pStyle w:val="Normal"/>
        <w:jc w:val="center"/>
        <w:rPr>
          <w:b/>
          <w:b/>
          <w:sz w:val="22"/>
          <w:szCs w:val="22"/>
        </w:rPr>
      </w:pPr>
      <w:r>
        <w:rPr>
          <w:b/>
          <w:sz w:val="22"/>
          <w:szCs w:val="22"/>
        </w:rPr>
      </w:r>
    </w:p>
    <w:p>
      <w:pPr>
        <w:pStyle w:val="Normal"/>
        <w:jc w:val="center"/>
        <w:rPr>
          <w:b/>
          <w:b/>
          <w:sz w:val="24"/>
          <w:szCs w:val="24"/>
        </w:rPr>
      </w:pPr>
      <w:r>
        <w:rPr>
          <w:b/>
          <w:color w:val="000000"/>
          <w:sz w:val="24"/>
          <w:szCs w:val="24"/>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Ленина, д.20"</w:t>
      </w:r>
    </w:p>
    <w:p>
      <w:pPr>
        <w:pStyle w:val="Normal"/>
        <w:jc w:val="center"/>
        <w:rPr>
          <w:b/>
          <w:b/>
          <w:iCs/>
          <w:sz w:val="22"/>
          <w:szCs w:val="22"/>
        </w:rPr>
      </w:pPr>
      <w:r>
        <w:rPr>
          <w:b/>
          <w:iCs/>
          <w:sz w:val="22"/>
          <w:szCs w:val="22"/>
        </w:rPr>
      </w:r>
    </w:p>
    <w:p>
      <w:pPr>
        <w:pStyle w:val="Normal"/>
        <w:jc w:val="center"/>
        <w:rPr>
          <w:b/>
          <w:b/>
          <w:iCs/>
          <w:sz w:val="22"/>
          <w:szCs w:val="22"/>
        </w:rPr>
      </w:pPr>
      <w:r>
        <w:rPr>
          <w:b/>
          <w:iCs/>
          <w:sz w:val="22"/>
          <w:szCs w:val="22"/>
        </w:rPr>
      </w:r>
    </w:p>
    <w:tbl>
      <w:tblPr>
        <w:tblW w:w="15740" w:type="dxa"/>
        <w:jc w:val="left"/>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4a0"/>
      </w:tblPr>
      <w:tblGrid>
        <w:gridCol w:w="516"/>
        <w:gridCol w:w="1520"/>
        <w:gridCol w:w="3354"/>
        <w:gridCol w:w="1604"/>
        <w:gridCol w:w="1721"/>
        <w:gridCol w:w="884"/>
        <w:gridCol w:w="852"/>
        <w:gridCol w:w="919"/>
        <w:gridCol w:w="812"/>
        <w:gridCol w:w="2"/>
        <w:gridCol w:w="971"/>
        <w:gridCol w:w="2"/>
        <w:gridCol w:w="850"/>
        <w:gridCol w:w="1"/>
        <w:gridCol w:w="918"/>
        <w:gridCol w:w="1"/>
        <w:gridCol w:w="812"/>
      </w:tblGrid>
      <w:tr>
        <w:trPr>
          <w:trHeight w:val="255" w:hRule="atLeast"/>
        </w:trPr>
        <w:tc>
          <w:tcPr>
            <w:tcW w:w="51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пп</w:t>
            </w:r>
          </w:p>
        </w:tc>
        <w:tc>
          <w:tcPr>
            <w:tcW w:w="1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Обоснование</w:t>
            </w:r>
          </w:p>
        </w:tc>
        <w:tc>
          <w:tcPr>
            <w:tcW w:w="335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Наименование</w:t>
            </w:r>
          </w:p>
        </w:tc>
        <w:tc>
          <w:tcPr>
            <w:tcW w:w="160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Ед. изм.</w:t>
            </w:r>
          </w:p>
        </w:tc>
        <w:tc>
          <w:tcPr>
            <w:tcW w:w="1721"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Кол.</w:t>
            </w:r>
          </w:p>
        </w:tc>
        <w:tc>
          <w:tcPr>
            <w:tcW w:w="3467"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Стоимость единицы, руб.</w:t>
            </w:r>
          </w:p>
        </w:tc>
        <w:tc>
          <w:tcPr>
            <w:tcW w:w="3557" w:type="dxa"/>
            <w:gridSpan w:val="8"/>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Общая стоимость, руб.</w:t>
            </w:r>
          </w:p>
        </w:tc>
      </w:tr>
      <w:tr>
        <w:trPr>
          <w:trHeight w:val="270" w:hRule="atLeast"/>
        </w:trPr>
        <w:tc>
          <w:tcPr>
            <w:tcW w:w="5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5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5"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c>
          <w:tcPr>
            <w:tcW w:w="973" w:type="dxa"/>
            <w:gridSpan w:val="2"/>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2"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r>
      <w:tr>
        <w:trPr>
          <w:trHeight w:val="480" w:hRule="atLeast"/>
        </w:trPr>
        <w:tc>
          <w:tcPr>
            <w:tcW w:w="5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35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1"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4"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c>
          <w:tcPr>
            <w:tcW w:w="973" w:type="dxa"/>
            <w:gridSpan w:val="2"/>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r>
      <w:tr>
        <w:trPr>
          <w:trHeight w:val="25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2</w:t>
            </w:r>
          </w:p>
        </w:tc>
        <w:tc>
          <w:tcPr>
            <w:tcW w:w="335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3</w:t>
            </w:r>
          </w:p>
        </w:tc>
        <w:tc>
          <w:tcPr>
            <w:tcW w:w="160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4</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88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6</w:t>
            </w:r>
          </w:p>
        </w:tc>
        <w:tc>
          <w:tcPr>
            <w:tcW w:w="85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12</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13</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1. Площадка для стоянки автомобилей.</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(2,68 руб.): 95%*0,8 от ФОТ (3,53 руб.)</w:t>
              <w:br/>
              <w:t>СП (1,32 руб.): 50%*0,75 от ФОТ (3,53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46,8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46,8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(1,11 руб.): 95%*0,8 от ФОТ (1,46 руб.)</w:t>
              <w:br/>
              <w:t>СП (0,55 руб.): 50%*0,75 от ФОТ (1,46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(223,75 руб.): 142%*0,8 от ФОТ (196,96 руб.)</w:t>
              <w:br/>
              <w:t>СП (140,33 руб.): 95%*0,75 от ФОТ (196,96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0,585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1407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115</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64,35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3233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(349,69 руб.): 142%*0,8 от ФОТ (307,83 руб.)</w:t>
              <w:br/>
              <w:t>СП (219,33 руб.): 95%*0,75 от ФОТ (307,83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0,585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2375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2219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73,7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6780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95,8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1734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(2,81 руб.): 142%*0,8 от ФОТ (2,47 руб.)</w:t>
              <w:br/>
              <w:t>СП (1,76 руб.): 95%*0,75 от ФОТ (2,47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0,312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-0,32136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-481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0,321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546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(177,17 руб.): 142%*0,8 от ФОТ (155,96 руб.)</w:t>
              <w:br/>
              <w:t>СП (111,12 руб.): 95%*0,75 от ФОТ (155,96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0,276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14102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762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-27,876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-13241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-0,020424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0,0204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27,876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15750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(1,06 руб.): 142%*0,8 от ФОТ (0,93 руб.)</w:t>
              <w:br/>
              <w:t>СП (0,66 руб.): 95%*0,75 от ФОТ (0,93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0,117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-0,12051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0,1205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6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(310,03 руб.): 142%*0,8 от ФОТ (272,91 руб.)</w:t>
              <w:br/>
              <w:t>СП (194,45 руб.): 95%*0,75 от ФОТ (272,91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21783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968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114</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(0,84 руб.): 142%*0,8 от ФОТ (0,74 руб.)</w:t>
              <w:br/>
              <w:t>СП (0,53 руб.): 95%*0,75 от ФОТ (0,74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5161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(16,36 руб.): 142%*0,8 от ФОТ (14,4 руб.)</w:t>
              <w:br/>
              <w:t>СП (10,26 руб.): 95%*0,75 от ФОТ (14,4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0,018</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2,27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2,95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1.2. Бортовые камни</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ТЕР01-01-013-14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погрузкой на автомобили-самосвалы экскаваторами с ковшом вместимостью: 0,5 (0,5-0,63) м3,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(7,15 руб.): 95%*0,8 от ФОТ (9,41 руб.)</w:t>
              <w:br/>
              <w:t>СП (3,53 руб.): 50%*0,75 от ФОТ (9,41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4994,5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130,55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4859,59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653,04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18,34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100 мм.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(11,09 руб.): 142%*0,8 от ФОТ (9,76 руб.)</w:t>
              <w:br/>
              <w:t>СП (6,95 руб.): 95%*0,75 от ФОТ (9,76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3,19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4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100 мм.)</w:t>
            </w:r>
            <w:r>
              <w:rPr>
                <w:rFonts w:cs="Arial" w:ascii="Arial" w:hAnsi="Arial"/>
                <w:i/>
                <w:iCs/>
                <w:sz w:val="14"/>
                <w:szCs w:val="14"/>
              </w:rPr>
              <w:br/>
              <w:t>(Приказ от 29.12.2016 № 1028/пр п.8.7.1 При ремонтно-строительных работах и работах по реконструкции объектов капитального строительства (аналогичных технологическим процессам в новом строительстве, в том числе по возведению новых конструктивных элементов) ОЗП=1,15; ЭМ=1,25 к расх.; ЗПМ=1,25; ТЗ=1,15; ТЗМ=1,25)</w:t>
              <w:br/>
              <w:t>НР (19,05 руб.): 142%*0,8 от ФОТ (16,77 руб.)</w:t>
              <w:br/>
              <w:t>СП (11,95 руб.): 95%*0,75 от ФОТ (16,77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4586,5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4309,53</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351,23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3,65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4,75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ТЕР27-02-010-02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Установка бортовых камней бетонных: при других видах покрытий</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(493,51 руб.): 142%*0,8 от ФОТ (434,43 руб.)</w:t>
              <w:br/>
              <w:t>СП (309,53 руб.): 95%*0,75 от ФОТ (434,43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 бортового камня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4580,75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713,86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88,39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10,18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2748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ТССЦ-403-8021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Камни бортовые БР 100.30.15 /бетон В30 (М400), объем 0,043 м3/ (ГОСТ 6665-91)</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60</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3810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ТЕР01-02-061-02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Засыпка вручную траншей, пазух котлованов и ям,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(5,69 руб.): 80%*0,8 от ФОТ (8,89 руб.)</w:t>
              <w:br/>
              <w:t>СП (3 руб.): 45%*0,75 от ФОТ (8,89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грунта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808,31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808,31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2. Дорога.</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(0,67 руб.): 95%*0,8 от ФОТ (0,88 руб.)</w:t>
              <w:br/>
              <w:t>СП (0,33 руб.): 50%*0,75 от ФОТ (0,88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0,234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(134,24 руб.): 142%*0,8 от ФОТ (118,17 руб.)</w:t>
              <w:br/>
              <w:t>СП (84,2 руб.): 95%*0,75 от ФОТ (118,17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0,351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844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38,6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1939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(209,82 руб.): 142%*0,8 от ФОТ (184,7 руб.)</w:t>
              <w:br/>
              <w:t>СП (131,6 руб.): 95%*0,75 от ФОТ (184,7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0,351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1425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108</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44,23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4069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57,5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1041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(1,72 руб.): 142%*0,8 от ФОТ (1,51 руб.)</w:t>
              <w:br/>
              <w:t>СП (1,08 руб.): 95%*0,75 от ФОТ (1,51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-0,1957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0,196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(106,31 руб.): 142%*0,8 от ФОТ (93,58 руб.)</w:t>
              <w:br/>
              <w:t>СП (66,68 руб.): 95%*0,75 от ФОТ (93,58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0,1656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8461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-0,012254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-16,7256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-7945</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0,0123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16,726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9450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(0,64 руб.): 142%*0,8 от ФОТ (0,56 руб.)</w:t>
              <w:br/>
              <w:t>СП (0,4 руб.): 95%*0,75 от ФОТ (0,56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45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-0,0721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0,072</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(186,02 руб.): 142%*0,8 от ФОТ (163,75 руб.)</w:t>
              <w:br/>
              <w:t>СП (116,67 руб.): 95%*0,75 от ФОТ (163,75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0,234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13070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96</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(0,51 руб.): 142%*0,8 от ФОТ (0,45 руб.)</w:t>
              <w:br/>
              <w:t>СП (0,32 руб.): 95%*0,75 от ФОТ (0,45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0,234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3097</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0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29.12.2016 № 1028/пр п.8.7.1 При ремонтно-строительных работах и работах по реконструкции объектов капитального строительства (аналогичных технологическим процессам в новом строительстве, в том числе по возведению новых конструктивных элементов) ОЗП=1,15; ЭМ=1,25 к расх.; ЗПМ=1,25; ТЗ=1,15; ТЗМ=1,25)</w:t>
              <w:br/>
              <w:t>НР (39,49 руб.): 142%*0,8 от ФОТ (34,76 руб.)</w:t>
              <w:br/>
              <w:t>СП (24,77 руб.): 95%*0,75 от ФОТ (34,76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3476,67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457,6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2876,28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411,58</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5,04</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464</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576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6,55</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3. МАФ.</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ТЕРр51-4-1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Рытье ям для установки стоек и столбов глубиной: 0,4 м</w:t>
            </w:r>
            <w:r>
              <w:rPr>
                <w:rFonts w:cs="Arial" w:ascii="Arial" w:hAnsi="Arial"/>
                <w:i/>
                <w:iCs/>
                <w:sz w:val="14"/>
                <w:szCs w:val="14"/>
              </w:rPr>
              <w:br/>
              <w:t>НР (464,49 руб.): 75% от ФОТ (619,32 руб.)</w:t>
              <w:br/>
              <w:t>СП (250,82 руб.): 45%*0,9 от ФОТ (619,32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ям</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619</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ТЕР06-01-001-13</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фундаментов-столбов: бетонных</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(19,45 руб.): 105%*0,8 от ФОТ (23,15 руб.)</w:t>
              <w:br/>
              <w:t>СП (11,29 руб.): 65%*0,75 от ФОТ (23,15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бетона, бутобетона и железобетона в деле</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0,0039</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69909,17</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5659,54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2066,7</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277,74</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273</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Урна металлическая ДХО 01060 МАТ=5632/1,2/6,87</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683,16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2049</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Скамья со спинкой МФ-03 МАТ=11140/1,2/6,87</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8108</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4. Светильники</w:t>
            </w:r>
          </w:p>
        </w:tc>
      </w:tr>
      <w:tr>
        <w:trPr>
          <w:trHeight w:val="106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ТЕРм08-02-369-02</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устанавливаемый вне зданий с лампами: люминесцентными</w:t>
            </w:r>
            <w:r>
              <w:rPr>
                <w:rFonts w:cs="Arial" w:ascii="Arial" w:hAnsi="Arial"/>
                <w:i/>
                <w:iCs/>
                <w:sz w:val="14"/>
                <w:szCs w:val="14"/>
              </w:rPr>
              <w:br/>
              <w:t>НР (27,73 руб.): 95% от ФОТ (29,19 руб.)</w:t>
              <w:br/>
              <w:t>СП (18,97 руб.): 65% от ФОТ (29,19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162,26</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92,89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9,39</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r>
      <w:tr>
        <w:trPr>
          <w:trHeight w:val="72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ДКУ GALAD Победа LED-150  МАТ=9490/1,2/6,87</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1151,14</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1151</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Кронштейн для РКУ КНО  для установки на опору+  2 хомута МАТ=1119,54/6,87/1,2</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135,8</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136</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5.Прочие работы.</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ТЕРр68-1-1</w:t>
            </w:r>
            <w:r>
              <w:rPr>
                <w:rFonts w:cs="Arial" w:ascii="Arial" w:hAnsi="Arial"/>
                <w:i/>
                <w:iCs/>
                <w:sz w:val="14"/>
                <w:szCs w:val="14"/>
              </w:rPr>
              <w:br/>
              <w:t>Пр. Минстроя России от 06.10.14 №597/пр</w:t>
            </w:r>
          </w:p>
        </w:tc>
        <w:tc>
          <w:tcPr>
            <w:tcW w:w="3354"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Корчевка пней вручную давностью рубки до трех лет: диаметром до 500 мм мягких пород</w:t>
            </w:r>
            <w:r>
              <w:rPr>
                <w:rFonts w:cs="Arial" w:ascii="Arial" w:hAnsi="Arial"/>
                <w:i/>
                <w:iCs/>
                <w:sz w:val="14"/>
                <w:szCs w:val="14"/>
              </w:rPr>
              <w:br/>
              <w:t>НР (90,17 руб.): 104% от ФОТ (86,7 руб.)</w:t>
              <w:br/>
              <w:t>СП (46,82 руб.): 60%*0,9 от ФОТ (86,7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пень</w:t>
            </w:r>
          </w:p>
        </w:tc>
        <w:tc>
          <w:tcPr>
            <w:tcW w:w="172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w:t>
            </w:r>
          </w:p>
        </w:tc>
        <w:tc>
          <w:tcPr>
            <w:tcW w:w="88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140</w:t>
            </w:r>
          </w:p>
        </w:tc>
        <w:tc>
          <w:tcPr>
            <w:tcW w:w="85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420</w:t>
            </w:r>
          </w:p>
        </w:tc>
        <w:tc>
          <w:tcPr>
            <w:tcW w:w="85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Итого прямые затраты по смете в базисных ценах</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118121</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1918</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9215</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875</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Накладные расходы</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2903</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Сметная прибыль</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1769</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Итоги по смете:</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122794</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Индекс перехода </w:t>
            </w:r>
            <w:r>
              <w:rPr>
                <w:b/>
                <w:sz w:val="24"/>
                <w:szCs w:val="24"/>
              </w:rPr>
              <w:t>от базисной стоимости к текущим ценам</w:t>
            </w:r>
            <w:r>
              <w:rPr>
                <w:rFonts w:cs="Arial" w:ascii="Arial" w:hAnsi="Arial"/>
                <w:b/>
                <w:bCs/>
                <w:sz w:val="18"/>
                <w:szCs w:val="18"/>
              </w:rPr>
              <w:t xml:space="preserve">  К=7,74934671075</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 </w:t>
            </w:r>
            <w:r>
              <w:rPr>
                <w:rFonts w:cs="Arial" w:ascii="Arial" w:hAnsi="Arial"/>
                <w:b/>
                <w:bCs/>
                <w:sz w:val="18"/>
                <w:szCs w:val="18"/>
              </w:rPr>
              <w:t>Итого по смете с учетом индекса</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951573,28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182"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 xml:space="preserve"> </w:t>
            </w:r>
            <w:r>
              <w:rPr>
                <w:rFonts w:cs="Arial" w:ascii="Arial" w:hAnsi="Arial"/>
                <w:b/>
                <w:bCs/>
                <w:sz w:val="18"/>
                <w:szCs w:val="18"/>
              </w:rPr>
              <w:t xml:space="preserve">Всего по смете </w:t>
            </w:r>
          </w:p>
        </w:tc>
        <w:tc>
          <w:tcPr>
            <w:tcW w:w="97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951573,28</w:t>
            </w:r>
          </w:p>
        </w:tc>
        <w:tc>
          <w:tcPr>
            <w:tcW w:w="852"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3"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bl>
    <w:p>
      <w:pPr>
        <w:pStyle w:val="Normal"/>
        <w:widowControl w:val="false"/>
        <w:suppressLineNumbers/>
        <w:suppressAutoHyphens w:val="true"/>
        <w:jc w:val="center"/>
        <w:rPr>
          <w:b/>
          <w:b/>
          <w:sz w:val="22"/>
          <w:szCs w:val="22"/>
        </w:rPr>
      </w:pPr>
      <w:r>
        <w:rPr>
          <w:b/>
          <w:sz w:val="22"/>
          <w:szCs w:val="22"/>
        </w:rPr>
      </w:r>
    </w:p>
    <w:tbl>
      <w:tblPr>
        <w:tblW w:w="15986" w:type="dxa"/>
        <w:jc w:val="left"/>
        <w:tblInd w:w="0" w:type="dxa"/>
        <w:tblBorders/>
        <w:tblCellMar>
          <w:top w:w="0" w:type="dxa"/>
          <w:left w:w="108" w:type="dxa"/>
          <w:bottom w:w="0" w:type="dxa"/>
          <w:right w:w="108" w:type="dxa"/>
        </w:tblCellMar>
        <w:tblLook w:val="0000"/>
      </w:tblPr>
      <w:tblGrid>
        <w:gridCol w:w="8777"/>
        <w:gridCol w:w="7208"/>
      </w:tblGrid>
      <w:tr>
        <w:trPr>
          <w:trHeight w:val="358" w:hRule="atLeast"/>
        </w:trPr>
        <w:tc>
          <w:tcPr>
            <w:tcW w:w="8777"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72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1294" w:hRule="atLeast"/>
        </w:trPr>
        <w:tc>
          <w:tcPr>
            <w:tcW w:w="8777"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7208" w:type="dxa"/>
            <w:tcBorders/>
            <w:shd w:fill="auto" w:val="clear"/>
          </w:tcPr>
          <w:p>
            <w:pPr>
              <w:pStyle w:val="Normal"/>
              <w:rPr>
                <w:rFonts w:eastAsia="Calibri"/>
                <w:sz w:val="24"/>
                <w:szCs w:val="24"/>
                <w:lang w:eastAsia="en-US"/>
              </w:rPr>
            </w:pPr>
            <w:r>
              <w:rPr>
                <w:rFonts w:eastAsia="Calibri"/>
                <w:sz w:val="24"/>
                <w:szCs w:val="24"/>
                <w:lang w:eastAsia="en-US"/>
              </w:rPr>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sz w:val="24"/>
                <w:szCs w:val="24"/>
                <w:lang w:eastAsia="en-US"/>
              </w:rPr>
            </w:pPr>
            <w:r>
              <w:rPr>
                <w:rFonts w:eastAsia="Calibri"/>
                <w:sz w:val="24"/>
                <w:szCs w:val="24"/>
                <w:lang w:eastAsia="en-US"/>
              </w:rPr>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ind w:firstLine="709"/>
        <w:jc w:val="center"/>
        <w:rPr>
          <w:sz w:val="24"/>
          <w:szCs w:val="24"/>
        </w:rPr>
      </w:pPr>
      <w:r>
        <w:rPr>
          <w:sz w:val="24"/>
          <w:szCs w:val="24"/>
        </w:rPr>
      </w:r>
    </w:p>
    <w:p>
      <w:pPr>
        <w:pStyle w:val="Normal"/>
        <w:rPr/>
      </w:pPr>
      <w:r>
        <w:rPr/>
      </w:r>
    </w:p>
    <w:sectPr>
      <w:type w:val="nextPage"/>
      <w:pgSz w:orient="landscape" w:w="16838" w:h="11906"/>
      <w:pgMar w:left="567" w:right="567"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4"/>
      <w:numFmt w:val="decimal"/>
      <w:lvlText w:val="%1.%2."/>
      <w:lvlJc w:val="left"/>
      <w:pPr>
        <w:ind w:left="1020" w:hanging="360"/>
      </w:pPr>
    </w:lvl>
    <w:lvl w:ilvl="2">
      <w:start w:val="1"/>
      <w:numFmt w:val="decimal"/>
      <w:lvlText w:val="%1.%2.%3."/>
      <w:lvlJc w:val="left"/>
      <w:pPr>
        <w:ind w:left="1680" w:hanging="720"/>
      </w:pPr>
    </w:lvl>
    <w:lvl w:ilvl="3">
      <w:start w:val="1"/>
      <w:numFmt w:val="decimal"/>
      <w:lvlText w:val="%1.%2.%3.%4."/>
      <w:lvlJc w:val="left"/>
      <w:pPr>
        <w:ind w:left="1980" w:hanging="720"/>
      </w:pPr>
    </w:lvl>
    <w:lvl w:ilvl="4">
      <w:start w:val="1"/>
      <w:numFmt w:val="decimal"/>
      <w:lvlText w:val="%1.%2.%3.%4.%5."/>
      <w:lvlJc w:val="left"/>
      <w:pPr>
        <w:ind w:left="2640" w:hanging="1080"/>
      </w:pPr>
    </w:lvl>
    <w:lvl w:ilvl="5">
      <w:start w:val="1"/>
      <w:numFmt w:val="decimal"/>
      <w:lvlText w:val="%1.%2.%3.%4.%5.%6."/>
      <w:lvlJc w:val="left"/>
      <w:pPr>
        <w:ind w:left="2940" w:hanging="1080"/>
      </w:pPr>
    </w:lvl>
    <w:lvl w:ilvl="6">
      <w:start w:val="1"/>
      <w:numFmt w:val="decimal"/>
      <w:lvlText w:val="%1.%2.%3.%4.%5.%6.%7."/>
      <w:lvlJc w:val="left"/>
      <w:pPr>
        <w:ind w:left="3600" w:hanging="1440"/>
      </w:pPr>
    </w:lvl>
    <w:lvl w:ilvl="7">
      <w:start w:val="1"/>
      <w:numFmt w:val="decimal"/>
      <w:lvlText w:val="%1.%2.%3.%4.%5.%6.%7.%8."/>
      <w:lvlJc w:val="left"/>
      <w:pPr>
        <w:ind w:left="3900" w:hanging="1440"/>
      </w:pPr>
    </w:lvl>
    <w:lvl w:ilvl="8">
      <w:start w:val="1"/>
      <w:numFmt w:val="decimal"/>
      <w:lvlText w:val="%1.%2.%3.%4.%5.%6.%7.%8.%9."/>
      <w:lvlJc w:val="left"/>
      <w:pPr>
        <w:ind w:left="456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3f09"/>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103f09"/>
    <w:pPr>
      <w:keepNext w:val="true"/>
      <w:spacing w:before="240" w:after="0"/>
      <w:jc w:val="center"/>
      <w:outlineLvl w:val="0"/>
    </w:pPr>
    <w:rPr>
      <w:rFonts w:ascii="Arial" w:hAnsi="Arial"/>
      <w:b/>
      <w:color w:val="000000"/>
      <w:sz w:val="24"/>
      <w:u w:val="single"/>
      <w:lang w:eastAsia="en-US"/>
    </w:rPr>
  </w:style>
  <w:style w:type="paragraph" w:styleId="2">
    <w:name w:val="Heading 2"/>
    <w:basedOn w:val="Normal"/>
    <w:link w:val="20"/>
    <w:uiPriority w:val="9"/>
    <w:qFormat/>
    <w:rsid w:val="00103f09"/>
    <w:pPr>
      <w:keepNext w:val="true"/>
      <w:spacing w:lineRule="auto" w:line="259" w:before="20" w:after="0"/>
      <w:ind w:firstLine="709"/>
      <w:jc w:val="both"/>
      <w:outlineLvl w:val="1"/>
    </w:pPr>
    <w:rPr>
      <w:sz w:val="24"/>
      <w:szCs w:val="24"/>
      <w:u w:val="single"/>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103f09"/>
    <w:rPr>
      <w:rFonts w:ascii="Arial" w:hAnsi="Arial" w:eastAsia="Times New Roman" w:cs="Times New Roman"/>
      <w:b/>
      <w:color w:val="000000"/>
      <w:sz w:val="24"/>
      <w:szCs w:val="20"/>
      <w:u w:val="single"/>
    </w:rPr>
  </w:style>
  <w:style w:type="character" w:styleId="21" w:customStyle="1">
    <w:name w:val="Заголовок 2 Знак"/>
    <w:basedOn w:val="DefaultParagraphFont"/>
    <w:link w:val="2"/>
    <w:uiPriority w:val="9"/>
    <w:qFormat/>
    <w:rsid w:val="00103f09"/>
    <w:rPr>
      <w:rFonts w:ascii="Times New Roman" w:hAnsi="Times New Roman" w:eastAsia="Times New Roman" w:cs="Times New Roman"/>
      <w:sz w:val="24"/>
      <w:szCs w:val="24"/>
      <w:u w:val="single"/>
      <w:lang w:eastAsia="ru-RU"/>
    </w:rPr>
  </w:style>
  <w:style w:type="character" w:styleId="Style12">
    <w:name w:val="Интернет-ссылка"/>
    <w:uiPriority w:val="99"/>
    <w:rsid w:val="00103f09"/>
    <w:rPr>
      <w:color w:val="0000FF"/>
      <w:u w:val="single"/>
    </w:rPr>
  </w:style>
  <w:style w:type="character" w:styleId="Style13" w:customStyle="1">
    <w:name w:val="Без интервала Знак"/>
    <w:link w:val="a5"/>
    <w:uiPriority w:val="1"/>
    <w:qFormat/>
    <w:locked/>
    <w:rsid w:val="00103f09"/>
    <w:rPr>
      <w:rFonts w:ascii="Times New Roman" w:hAnsi="Times New Roman" w:eastAsia="Times New Roman" w:cs="Times New Roman"/>
      <w:sz w:val="24"/>
      <w:szCs w:val="24"/>
      <w:lang w:eastAsia="ru-RU"/>
    </w:rPr>
  </w:style>
  <w:style w:type="character" w:styleId="FollowedHyperlink">
    <w:name w:val="FollowedHyperlink"/>
    <w:basedOn w:val="DefaultParagraphFont"/>
    <w:uiPriority w:val="99"/>
    <w:semiHidden/>
    <w:unhideWhenUsed/>
    <w:qFormat/>
    <w:rsid w:val="006002ef"/>
    <w:rPr>
      <w:color w:val="800080"/>
      <w:u w:val="single"/>
    </w:rPr>
  </w:style>
  <w:style w:type="character" w:styleId="Style14" w:customStyle="1">
    <w:name w:val="Абзац списка Знак"/>
    <w:link w:val="a9"/>
    <w:uiPriority w:val="34"/>
    <w:qFormat/>
    <w:locked/>
    <w:rsid w:val="004e7b17"/>
    <w:rPr>
      <w:rFonts w:ascii="Calibri" w:hAnsi="Calibri" w:eastAsia="Times New Roman" w:cs="Times New Roman"/>
      <w:sz w:val="24"/>
      <w:szCs w:val="24"/>
      <w:lang w:eastAsia="ru-RU"/>
    </w:rPr>
  </w:style>
  <w:style w:type="character" w:styleId="ListLabel1">
    <w:name w:val="ListLabel 1"/>
    <w:qFormat/>
    <w:rPr>
      <w:sz w:val="24"/>
    </w:rPr>
  </w:style>
  <w:style w:type="character" w:styleId="ListLabel2">
    <w:name w:val="ListLabel 2"/>
    <w:qFormat/>
    <w:rPr>
      <w:szCs w:val="24"/>
    </w:rPr>
  </w:style>
  <w:style w:type="character" w:styleId="Style15">
    <w:name w:val="Символ сноски"/>
    <w:qFormat/>
    <w:rPr/>
  </w:style>
  <w:style w:type="paragraph" w:styleId="Style16">
    <w:name w:val="Заголовок"/>
    <w:basedOn w:val="Normal"/>
    <w:next w:val="Style17"/>
    <w:qFormat/>
    <w:pPr>
      <w:keepNext w:val="true"/>
      <w:spacing w:before="240" w:after="120"/>
    </w:pPr>
    <w:rPr>
      <w:rFonts w:ascii="Liberation Sans" w:hAnsi="Liberation Sans" w:eastAsia="Noto Sans CJK SC" w:cs="Lohit Devanagari"/>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Lohit Devanagari"/>
    </w:rPr>
  </w:style>
  <w:style w:type="paragraph" w:styleId="Style19">
    <w:name w:val="Caption"/>
    <w:basedOn w:val="Normal"/>
    <w:qFormat/>
    <w:pPr>
      <w:suppressLineNumbers/>
      <w:spacing w:before="120" w:after="120"/>
    </w:pPr>
    <w:rPr>
      <w:rFonts w:cs="Lohit Devanagari"/>
      <w:i/>
      <w:iCs/>
      <w:sz w:val="24"/>
      <w:szCs w:val="24"/>
    </w:rPr>
  </w:style>
  <w:style w:type="paragraph" w:styleId="Style20">
    <w:name w:val="Указатель"/>
    <w:basedOn w:val="Normal"/>
    <w:qFormat/>
    <w:pPr>
      <w:suppressLineNumbers/>
    </w:pPr>
    <w:rPr>
      <w:rFonts w:cs="Lohit Devanagari"/>
    </w:rPr>
  </w:style>
  <w:style w:type="paragraph" w:styleId="Style21" w:customStyle="1">
    <w:name w:val="Содержимое таблицы"/>
    <w:basedOn w:val="Normal"/>
    <w:qFormat/>
    <w:rsid w:val="00103f09"/>
    <w:pPr>
      <w:suppressLineNumbers/>
      <w:suppressAutoHyphens w:val="true"/>
    </w:pPr>
    <w:rPr>
      <w:sz w:val="24"/>
      <w:szCs w:val="24"/>
      <w:lang w:eastAsia="ar-SA"/>
    </w:rPr>
  </w:style>
  <w:style w:type="paragraph" w:styleId="NoSpacing">
    <w:name w:val="No Spacing"/>
    <w:link w:val="a6"/>
    <w:uiPriority w:val="1"/>
    <w:qFormat/>
    <w:rsid w:val="00103f09"/>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2" w:customStyle="1">
    <w:name w:val="Стиль 1"/>
    <w:basedOn w:val="Normal"/>
    <w:qFormat/>
    <w:rsid w:val="00103f09"/>
    <w:pPr>
      <w:widowControl w:val="false"/>
      <w:tabs>
        <w:tab w:val="left" w:pos="720" w:leader="none"/>
      </w:tabs>
      <w:ind w:firstLine="720"/>
      <w:jc w:val="both"/>
    </w:pPr>
    <w:rPr>
      <w:sz w:val="22"/>
      <w:szCs w:val="22"/>
    </w:rPr>
  </w:style>
  <w:style w:type="paragraph" w:styleId="Font5" w:customStyle="1">
    <w:name w:val="font5"/>
    <w:basedOn w:val="Normal"/>
    <w:qFormat/>
    <w:rsid w:val="006002ef"/>
    <w:pPr>
      <w:spacing w:beforeAutospacing="1" w:afterAutospacing="1"/>
    </w:pPr>
    <w:rPr>
      <w:rFonts w:ascii="Arial" w:hAnsi="Arial" w:cs="Arial"/>
      <w:i/>
      <w:iCs/>
      <w:sz w:val="14"/>
      <w:szCs w:val="14"/>
    </w:rPr>
  </w:style>
  <w:style w:type="paragraph" w:styleId="Xl64" w:customStyle="1">
    <w:name w:val="xl64"/>
    <w:basedOn w:val="Normal"/>
    <w:qFormat/>
    <w:rsid w:val="006002ef"/>
    <w:pPr>
      <w:spacing w:beforeAutospacing="1" w:afterAutospacing="1"/>
      <w:textAlignment w:val="top"/>
    </w:pPr>
    <w:rPr>
      <w:rFonts w:ascii="Arial" w:hAnsi="Arial" w:cs="Arial"/>
      <w:sz w:val="18"/>
      <w:szCs w:val="18"/>
    </w:rPr>
  </w:style>
  <w:style w:type="paragraph" w:styleId="Xl65" w:customStyle="1">
    <w:name w:val="xl65"/>
    <w:basedOn w:val="Normal"/>
    <w:qFormat/>
    <w:rsid w:val="006002ef"/>
    <w:pPr>
      <w:spacing w:beforeAutospacing="1" w:afterAutospacing="1"/>
      <w:jc w:val="right"/>
      <w:textAlignment w:val="top"/>
    </w:pPr>
    <w:rPr>
      <w:rFonts w:ascii="Arial" w:hAnsi="Arial" w:cs="Arial"/>
      <w:sz w:val="16"/>
      <w:szCs w:val="16"/>
    </w:rPr>
  </w:style>
  <w:style w:type="paragraph" w:styleId="Xl66" w:customStyle="1">
    <w:name w:val="xl66"/>
    <w:basedOn w:val="Normal"/>
    <w:qFormat/>
    <w:rsid w:val="006002ef"/>
    <w:pPr>
      <w:spacing w:beforeAutospacing="1" w:afterAutospacing="1"/>
    </w:pPr>
    <w:rPr>
      <w:rFonts w:ascii="Arial" w:hAnsi="Arial" w:cs="Arial"/>
    </w:rPr>
  </w:style>
  <w:style w:type="paragraph" w:styleId="Xl67" w:customStyle="1">
    <w:name w:val="xl67"/>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68" w:customStyle="1">
    <w:name w:val="xl68"/>
    <w:basedOn w:val="Normal"/>
    <w:qFormat/>
    <w:rsid w:val="006002ef"/>
    <w:pPr>
      <w:spacing w:beforeAutospacing="1" w:afterAutospacing="1"/>
      <w:jc w:val="center"/>
      <w:textAlignment w:val="top"/>
    </w:pPr>
    <w:rPr>
      <w:rFonts w:ascii="Arial" w:hAnsi="Arial" w:cs="Arial"/>
      <w:sz w:val="18"/>
      <w:szCs w:val="18"/>
    </w:rPr>
  </w:style>
  <w:style w:type="paragraph" w:styleId="Xl69" w:customStyle="1">
    <w:name w:val="xl69"/>
    <w:basedOn w:val="Normal"/>
    <w:qFormat/>
    <w:rsid w:val="006002ef"/>
    <w:pPr>
      <w:spacing w:beforeAutospacing="1" w:afterAutospacing="1"/>
      <w:textAlignment w:val="top"/>
    </w:pPr>
    <w:rPr>
      <w:rFonts w:ascii="Arial" w:hAnsi="Arial" w:cs="Arial"/>
      <w:sz w:val="18"/>
      <w:szCs w:val="18"/>
    </w:rPr>
  </w:style>
  <w:style w:type="paragraph" w:styleId="Xl70" w:customStyle="1">
    <w:name w:val="xl70"/>
    <w:basedOn w:val="Normal"/>
    <w:qFormat/>
    <w:rsid w:val="006002ef"/>
    <w:pPr>
      <w:spacing w:beforeAutospacing="1" w:afterAutospacing="1"/>
      <w:jc w:val="center"/>
      <w:textAlignment w:val="top"/>
    </w:pPr>
    <w:rPr>
      <w:rFonts w:ascii="Arial" w:hAnsi="Arial" w:cs="Arial"/>
      <w:sz w:val="18"/>
      <w:szCs w:val="18"/>
    </w:rPr>
  </w:style>
  <w:style w:type="paragraph" w:styleId="Xl71" w:customStyle="1">
    <w:name w:val="xl71"/>
    <w:basedOn w:val="Normal"/>
    <w:qFormat/>
    <w:rsid w:val="006002ef"/>
    <w:pPr>
      <w:spacing w:beforeAutospacing="1" w:afterAutospacing="1"/>
      <w:jc w:val="center"/>
      <w:textAlignment w:val="top"/>
    </w:pPr>
    <w:rPr>
      <w:rFonts w:ascii="Arial" w:hAnsi="Arial" w:cs="Arial"/>
      <w:sz w:val="16"/>
      <w:szCs w:val="16"/>
    </w:rPr>
  </w:style>
  <w:style w:type="paragraph" w:styleId="Xl72" w:customStyle="1">
    <w:name w:val="xl72"/>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73" w:customStyle="1">
    <w:name w:val="xl73"/>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4" w:customStyle="1">
    <w:name w:val="xl74"/>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5" w:customStyle="1">
    <w:name w:val="xl75"/>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6" w:customStyle="1">
    <w:name w:val="xl76"/>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77" w:customStyle="1">
    <w:name w:val="xl77"/>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styleId="Xl78" w:customStyle="1">
    <w:name w:val="xl78"/>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79" w:customStyle="1">
    <w:name w:val="xl79"/>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0" w:customStyle="1">
    <w:name w:val="xl80"/>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1" w:customStyle="1">
    <w:name w:val="xl81"/>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82" w:customStyle="1">
    <w:name w:val="xl82"/>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3" w:customStyle="1">
    <w:name w:val="xl83"/>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4" w:customStyle="1">
    <w:name w:val="xl84"/>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6"/>
      <w:szCs w:val="16"/>
    </w:rPr>
  </w:style>
  <w:style w:type="paragraph" w:styleId="Xl85" w:customStyle="1">
    <w:name w:val="xl85"/>
    <w:basedOn w:val="Normal"/>
    <w:qFormat/>
    <w:rsid w:val="006002ef"/>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6" w:customStyle="1">
    <w:name w:val="xl86"/>
    <w:basedOn w:val="Normal"/>
    <w:qFormat/>
    <w:rsid w:val="006002ef"/>
    <w:pPr>
      <w:pBdr>
        <w:top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7" w:customStyle="1">
    <w:name w:val="xl87"/>
    <w:basedOn w:val="Normal"/>
    <w:qFormat/>
    <w:rsid w:val="006002ef"/>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88" w:customStyle="1">
    <w:name w:val="xl88"/>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styleId="Xl89" w:customStyle="1">
    <w:name w:val="xl89"/>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90" w:customStyle="1">
    <w:name w:val="xl90"/>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4"/>
      <w:szCs w:val="24"/>
    </w:rPr>
  </w:style>
  <w:style w:type="paragraph" w:styleId="Xl91" w:customStyle="1">
    <w:name w:val="xl91"/>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92" w:customStyle="1">
    <w:name w:val="xl92"/>
    <w:basedOn w:val="Normal"/>
    <w:qFormat/>
    <w:rsid w:val="006002ef"/>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styleId="ListParagraph">
    <w:name w:val="List Paragraph"/>
    <w:basedOn w:val="Normal"/>
    <w:link w:val="aa"/>
    <w:uiPriority w:val="34"/>
    <w:qFormat/>
    <w:rsid w:val="004e7b17"/>
    <w:pPr>
      <w:spacing w:before="0" w:after="0"/>
      <w:ind w:left="720" w:hanging="0"/>
      <w:contextualSpacing/>
    </w:pPr>
    <w:rPr>
      <w:rFonts w:ascii="Calibri" w:hAnsi="Calibri"/>
      <w:sz w:val="24"/>
      <w:szCs w:val="24"/>
    </w:rPr>
  </w:style>
  <w:style w:type="paragraph" w:styleId="Msonormalcxspmiddle" w:customStyle="1">
    <w:name w:val="msonormalcxspmiddle"/>
    <w:basedOn w:val="Normal"/>
    <w:uiPriority w:val="99"/>
    <w:qFormat/>
    <w:rsid w:val="004e7b17"/>
    <w:pPr>
      <w:spacing w:beforeAutospacing="1" w:afterAutospacing="1"/>
    </w:pPr>
    <w:rPr>
      <w:rFonts w:eastAsia="Calibri"/>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7">
    <w:name w:val="Table Grid"/>
    <w:basedOn w:val="a1"/>
    <w:uiPriority w:val="39"/>
    <w:rsid w:val="00df4d73"/>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Application>LibreOffice/6.0.7.3$Linux_X86_64 LibreOffice_project/00m0$Build-3</Application>
  <Pages>53</Pages>
  <Words>13401</Words>
  <Characters>90951</Characters>
  <CharactersWithSpaces>104468</CharactersWithSpaces>
  <Paragraphs>1705</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2020-02-20T13:25:00Z</dcterms:created>
  <dc:creator>Екатерина</dc:creator>
  <dc:description/>
  <dc:language>ru-RU</dc:language>
  <cp:lastModifiedBy>Екатерина</cp:lastModifiedBy>
  <cp:lastPrinted>2020-03-12T08:22:00Z</cp:lastPrinted>
  <dcterms:modified xsi:type="dcterms:W3CDTF">2020-03-12T08:26:00Z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